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8EC2" w14:textId="7649DE9D" w:rsidR="00A605A7" w:rsidRPr="0091310B" w:rsidRDefault="0091310B" w:rsidP="0091310B">
      <w:pPr>
        <w:jc w:val="center"/>
        <w:rPr>
          <w:b/>
          <w:sz w:val="40"/>
          <w:szCs w:val="40"/>
        </w:rPr>
      </w:pPr>
      <w:r w:rsidRPr="0091310B">
        <w:rPr>
          <w:b/>
          <w:sz w:val="40"/>
          <w:szCs w:val="40"/>
        </w:rPr>
        <w:t>Texas Forensic Science Commission</w:t>
      </w:r>
    </w:p>
    <w:p w14:paraId="645D9B31" w14:textId="77777777" w:rsidR="0091310B" w:rsidRDefault="0091310B"/>
    <w:p w14:paraId="7617843C" w14:textId="07286C04" w:rsidR="0091310B" w:rsidRDefault="0091310B" w:rsidP="0091310B">
      <w:pPr>
        <w:jc w:val="center"/>
        <w:rPr>
          <w:sz w:val="40"/>
          <w:szCs w:val="40"/>
        </w:rPr>
      </w:pPr>
      <w:hyperlink r:id="rId4" w:history="1">
        <w:r w:rsidRPr="0091310B">
          <w:rPr>
            <w:rStyle w:val="Hyperlink"/>
            <w:sz w:val="40"/>
            <w:szCs w:val="40"/>
          </w:rPr>
          <w:t>http://www.txcourts.gov/fsc/about-us</w:t>
        </w:r>
      </w:hyperlink>
    </w:p>
    <w:p w14:paraId="34C48688" w14:textId="0DFC14EA" w:rsidR="0091310B" w:rsidRDefault="0091310B" w:rsidP="0091310B"/>
    <w:p w14:paraId="1ABAFB4C" w14:textId="5DA00C1C" w:rsidR="0091310B" w:rsidRPr="0091310B" w:rsidRDefault="0091310B" w:rsidP="0091310B">
      <w:pPr>
        <w:rPr>
          <w:rFonts w:cstheme="minorHAnsi"/>
          <w:b/>
          <w:sz w:val="28"/>
          <w:szCs w:val="28"/>
        </w:rPr>
      </w:pPr>
      <w:r w:rsidRPr="0091310B">
        <w:rPr>
          <w:rFonts w:cstheme="minorHAnsi"/>
          <w:b/>
          <w:sz w:val="28"/>
          <w:szCs w:val="28"/>
        </w:rPr>
        <w:t>Contact Information:</w:t>
      </w:r>
    </w:p>
    <w:p w14:paraId="580CF57A" w14:textId="04322257" w:rsidR="0091310B" w:rsidRPr="0091310B" w:rsidRDefault="0091310B" w:rsidP="0091310B">
      <w:pPr>
        <w:rPr>
          <w:rFonts w:cstheme="minorHAnsi"/>
          <w:sz w:val="28"/>
          <w:szCs w:val="28"/>
        </w:rPr>
      </w:pPr>
    </w:p>
    <w:p w14:paraId="3DF115F2" w14:textId="77777777" w:rsidR="0091310B" w:rsidRPr="0091310B" w:rsidRDefault="0091310B" w:rsidP="0091310B">
      <w:pPr>
        <w:spacing w:line="300" w:lineRule="atLeast"/>
        <w:jc w:val="both"/>
        <w:rPr>
          <w:rFonts w:eastAsia="Times New Roman" w:cstheme="minorHAnsi"/>
          <w:color w:val="333333"/>
          <w:sz w:val="28"/>
          <w:szCs w:val="28"/>
          <w:lang w:val="en"/>
        </w:rPr>
      </w:pPr>
      <w:r w:rsidRPr="0091310B">
        <w:rPr>
          <w:rFonts w:eastAsia="Times New Roman" w:cstheme="minorHAnsi"/>
          <w:color w:val="333333"/>
          <w:sz w:val="28"/>
          <w:szCs w:val="28"/>
          <w:lang w:val="en"/>
        </w:rPr>
        <w:t xml:space="preserve">1700 North Congress Avenue, Suite 445 </w:t>
      </w:r>
    </w:p>
    <w:p w14:paraId="64E3A7AC" w14:textId="77777777" w:rsidR="0091310B" w:rsidRPr="0091310B" w:rsidRDefault="0091310B" w:rsidP="0091310B">
      <w:pPr>
        <w:spacing w:line="300" w:lineRule="atLeast"/>
        <w:jc w:val="both"/>
        <w:rPr>
          <w:rFonts w:eastAsia="Times New Roman" w:cstheme="minorHAnsi"/>
          <w:color w:val="333333"/>
          <w:sz w:val="28"/>
          <w:szCs w:val="28"/>
          <w:lang w:val="en"/>
        </w:rPr>
      </w:pPr>
      <w:r w:rsidRPr="0091310B">
        <w:rPr>
          <w:rFonts w:eastAsia="Times New Roman" w:cstheme="minorHAnsi"/>
          <w:color w:val="333333"/>
          <w:sz w:val="28"/>
          <w:szCs w:val="28"/>
          <w:lang w:val="en"/>
        </w:rPr>
        <w:t>Austin, Texas 78701</w:t>
      </w:r>
    </w:p>
    <w:p w14:paraId="636A8EAA" w14:textId="77777777" w:rsidR="0091310B" w:rsidRPr="0091310B" w:rsidRDefault="0091310B" w:rsidP="0091310B">
      <w:pPr>
        <w:spacing w:line="300" w:lineRule="atLeast"/>
        <w:jc w:val="both"/>
        <w:rPr>
          <w:rFonts w:eastAsia="Times New Roman" w:cstheme="minorHAnsi"/>
          <w:color w:val="333333"/>
          <w:sz w:val="28"/>
          <w:szCs w:val="28"/>
          <w:lang w:val="fr-FR"/>
        </w:rPr>
      </w:pPr>
      <w:r w:rsidRPr="0091310B">
        <w:rPr>
          <w:rFonts w:eastAsia="Times New Roman" w:cstheme="minorHAnsi"/>
          <w:color w:val="333333"/>
          <w:sz w:val="28"/>
          <w:szCs w:val="28"/>
          <w:lang w:val="fr-FR"/>
        </w:rPr>
        <w:t xml:space="preserve">Suite 445 </w:t>
      </w:r>
    </w:p>
    <w:p w14:paraId="09F00373" w14:textId="77777777" w:rsidR="0091310B" w:rsidRPr="0091310B" w:rsidRDefault="0091310B" w:rsidP="0091310B">
      <w:pPr>
        <w:spacing w:line="300" w:lineRule="atLeast"/>
        <w:jc w:val="both"/>
        <w:rPr>
          <w:rFonts w:eastAsia="Times New Roman" w:cstheme="minorHAnsi"/>
          <w:color w:val="333333"/>
          <w:sz w:val="28"/>
          <w:szCs w:val="28"/>
          <w:lang w:val="fr-FR"/>
        </w:rPr>
      </w:pPr>
      <w:r w:rsidRPr="0091310B">
        <w:rPr>
          <w:rFonts w:eastAsia="Times New Roman" w:cstheme="minorHAnsi"/>
          <w:color w:val="333333"/>
          <w:sz w:val="28"/>
          <w:szCs w:val="28"/>
          <w:lang w:val="fr-FR"/>
        </w:rPr>
        <w:t>Austin, Texas 78701</w:t>
      </w:r>
    </w:p>
    <w:p w14:paraId="70D0EAF2" w14:textId="77777777" w:rsidR="0091310B" w:rsidRPr="0091310B" w:rsidRDefault="0091310B" w:rsidP="0091310B">
      <w:pPr>
        <w:spacing w:line="300" w:lineRule="atLeast"/>
        <w:jc w:val="both"/>
        <w:rPr>
          <w:rFonts w:eastAsia="Times New Roman" w:cstheme="minorHAnsi"/>
          <w:color w:val="333333"/>
          <w:sz w:val="28"/>
          <w:szCs w:val="28"/>
          <w:lang w:val="fr-FR"/>
        </w:rPr>
      </w:pPr>
    </w:p>
    <w:p w14:paraId="70D1BE5E" w14:textId="251D519E" w:rsidR="0091310B" w:rsidRPr="0091310B" w:rsidRDefault="0091310B" w:rsidP="0091310B">
      <w:pPr>
        <w:spacing w:line="300" w:lineRule="atLeast"/>
        <w:jc w:val="both"/>
        <w:rPr>
          <w:rFonts w:eastAsia="Times New Roman" w:cstheme="minorHAnsi"/>
          <w:color w:val="333333"/>
          <w:sz w:val="28"/>
          <w:szCs w:val="28"/>
          <w:lang w:val="fr-FR"/>
        </w:rPr>
      </w:pPr>
      <w:proofErr w:type="gramStart"/>
      <w:r w:rsidRPr="0091310B">
        <w:rPr>
          <w:rFonts w:eastAsia="Times New Roman" w:cstheme="minorHAnsi"/>
          <w:color w:val="333333"/>
          <w:sz w:val="28"/>
          <w:szCs w:val="28"/>
          <w:lang w:val="fr-FR"/>
        </w:rPr>
        <w:t>Phone:</w:t>
      </w:r>
      <w:proofErr w:type="gramEnd"/>
      <w:r w:rsidRPr="0091310B">
        <w:rPr>
          <w:rFonts w:eastAsia="Times New Roman" w:cstheme="minorHAnsi"/>
          <w:color w:val="333333"/>
          <w:sz w:val="28"/>
          <w:szCs w:val="28"/>
          <w:lang w:val="fr-FR"/>
        </w:rPr>
        <w:t xml:space="preserve"> (888) 296-4232</w:t>
      </w:r>
    </w:p>
    <w:p w14:paraId="29549894" w14:textId="2515D7D1" w:rsidR="0091310B" w:rsidRPr="0091310B" w:rsidRDefault="0091310B" w:rsidP="0091310B">
      <w:pPr>
        <w:spacing w:line="240" w:lineRule="atLeast"/>
        <w:jc w:val="both"/>
        <w:rPr>
          <w:rFonts w:eastAsia="Times New Roman" w:cstheme="minorHAnsi"/>
          <w:color w:val="333333"/>
          <w:sz w:val="28"/>
          <w:szCs w:val="28"/>
          <w:lang w:val="fr-FR"/>
        </w:rPr>
      </w:pPr>
      <w:r w:rsidRPr="0091310B">
        <w:rPr>
          <w:rFonts w:eastAsia="Times New Roman" w:cstheme="minorHAnsi"/>
          <w:bCs/>
          <w:color w:val="333333"/>
          <w:sz w:val="28"/>
          <w:szCs w:val="28"/>
          <w:lang w:val="fr-FR"/>
        </w:rPr>
        <w:t xml:space="preserve">Fax : </w:t>
      </w:r>
      <w:r w:rsidRPr="0091310B">
        <w:rPr>
          <w:rFonts w:eastAsia="Times New Roman" w:cstheme="minorHAnsi"/>
          <w:color w:val="333333"/>
          <w:sz w:val="28"/>
          <w:szCs w:val="28"/>
          <w:lang w:val="fr-FR"/>
        </w:rPr>
        <w:t>(888) 305-2432</w:t>
      </w:r>
    </w:p>
    <w:p w14:paraId="2E9D0F7A" w14:textId="77777777" w:rsidR="0091310B" w:rsidRPr="0091310B" w:rsidRDefault="0091310B" w:rsidP="0091310B">
      <w:pPr>
        <w:spacing w:line="300" w:lineRule="atLeast"/>
        <w:jc w:val="both"/>
        <w:rPr>
          <w:rFonts w:eastAsia="Times New Roman" w:cstheme="minorHAnsi"/>
          <w:bCs/>
          <w:color w:val="333333"/>
          <w:sz w:val="28"/>
          <w:szCs w:val="28"/>
          <w:lang w:val="fr-FR"/>
        </w:rPr>
      </w:pPr>
    </w:p>
    <w:p w14:paraId="780CA02D" w14:textId="19D229DF" w:rsidR="0091310B" w:rsidRPr="0091310B" w:rsidRDefault="0091310B" w:rsidP="0091310B">
      <w:pPr>
        <w:spacing w:line="300" w:lineRule="atLeast"/>
        <w:jc w:val="both"/>
        <w:rPr>
          <w:rFonts w:eastAsia="Times New Roman" w:cstheme="minorHAnsi"/>
          <w:color w:val="333333"/>
          <w:sz w:val="28"/>
          <w:szCs w:val="28"/>
          <w:lang w:val="fr-FR"/>
        </w:rPr>
      </w:pPr>
      <w:r w:rsidRPr="0091310B">
        <w:rPr>
          <w:rFonts w:eastAsia="Times New Roman" w:cstheme="minorHAnsi"/>
          <w:bCs/>
          <w:color w:val="333333"/>
          <w:sz w:val="28"/>
          <w:szCs w:val="28"/>
          <w:lang w:val="fr-FR"/>
        </w:rPr>
        <w:t>Email :</w:t>
      </w:r>
      <w:r w:rsidRPr="0091310B">
        <w:rPr>
          <w:rFonts w:eastAsia="Times New Roman" w:cstheme="minorHAnsi"/>
          <w:b/>
          <w:bCs/>
          <w:color w:val="333333"/>
          <w:sz w:val="28"/>
          <w:szCs w:val="28"/>
          <w:lang w:val="fr-FR"/>
        </w:rPr>
        <w:t xml:space="preserve">  </w:t>
      </w:r>
      <w:hyperlink r:id="rId5" w:history="1">
        <w:r w:rsidRPr="0091310B">
          <w:rPr>
            <w:rFonts w:eastAsia="Times New Roman" w:cstheme="minorHAnsi"/>
            <w:color w:val="0059AD"/>
            <w:sz w:val="28"/>
            <w:szCs w:val="28"/>
            <w:lang w:val="fr-FR"/>
          </w:rPr>
          <w:t>info@fsc.texas.gov</w:t>
        </w:r>
      </w:hyperlink>
    </w:p>
    <w:p w14:paraId="125C0EFE" w14:textId="35B1157C" w:rsidR="0091310B" w:rsidRDefault="0091310B" w:rsidP="0091310B">
      <w:pPr>
        <w:rPr>
          <w:rFonts w:cstheme="minorHAnsi"/>
          <w:sz w:val="28"/>
          <w:szCs w:val="28"/>
          <w:lang w:val="fr-FR"/>
        </w:rPr>
      </w:pPr>
    </w:p>
    <w:p w14:paraId="5A733512" w14:textId="0E7E2C5E" w:rsidR="0091310B" w:rsidRDefault="0091310B" w:rsidP="0091310B">
      <w:pPr>
        <w:shd w:val="clear" w:color="auto" w:fill="FFFFFF"/>
        <w:jc w:val="both"/>
        <w:rPr>
          <w:rFonts w:eastAsia="Times New Roman" w:cstheme="minorHAnsi"/>
          <w:color w:val="333333"/>
          <w:lang w:val="en"/>
        </w:rPr>
      </w:pPr>
      <w:r>
        <w:rPr>
          <w:rFonts w:eastAsia="Times New Roman" w:cstheme="minorHAnsi"/>
          <w:color w:val="333333"/>
          <w:lang w:val="en"/>
        </w:rPr>
        <w:tab/>
      </w:r>
      <w:r w:rsidRPr="0091310B">
        <w:rPr>
          <w:rFonts w:eastAsia="Times New Roman" w:cstheme="minorHAnsi"/>
          <w:color w:val="333333"/>
          <w:lang w:val="en"/>
        </w:rPr>
        <w:t>In May 2005, the Texas Legislature created the Texas Forensic Science Commission (“Commission”). Under its enabling legislation, the Commission is required to investigate allegations of professional negligence or professional misconduct that would substantially affect the integrity of the results of a forensic analysis conducted by an accredited laboratory. The Legislature also requires the Commission to develop and implement a reporting system through which accredited laboratories may report professional negligence or misconduct.</w:t>
      </w:r>
    </w:p>
    <w:p w14:paraId="5EF946D0" w14:textId="77777777" w:rsidR="0091310B" w:rsidRPr="0091310B" w:rsidRDefault="0091310B" w:rsidP="0091310B">
      <w:pPr>
        <w:shd w:val="clear" w:color="auto" w:fill="FFFFFF"/>
        <w:jc w:val="both"/>
        <w:rPr>
          <w:rFonts w:eastAsia="Times New Roman" w:cstheme="minorHAnsi"/>
          <w:color w:val="333333"/>
          <w:lang w:val="en"/>
        </w:rPr>
      </w:pPr>
    </w:p>
    <w:p w14:paraId="10C7E5A8" w14:textId="1978DCB4" w:rsidR="0091310B" w:rsidRPr="0091310B" w:rsidRDefault="0091310B" w:rsidP="0091310B">
      <w:pPr>
        <w:shd w:val="clear" w:color="auto" w:fill="FFFFFF"/>
        <w:jc w:val="both"/>
        <w:rPr>
          <w:rFonts w:eastAsia="Times New Roman" w:cstheme="minorHAnsi"/>
          <w:color w:val="333333"/>
          <w:lang w:val="en"/>
        </w:rPr>
      </w:pPr>
      <w:r>
        <w:rPr>
          <w:rFonts w:eastAsia="Times New Roman" w:cstheme="minorHAnsi"/>
          <w:color w:val="333333"/>
          <w:lang w:val="en"/>
        </w:rPr>
        <w:tab/>
      </w:r>
      <w:r w:rsidRPr="0091310B">
        <w:rPr>
          <w:rFonts w:eastAsia="Times New Roman" w:cstheme="minorHAnsi"/>
          <w:color w:val="333333"/>
          <w:lang w:val="en"/>
        </w:rPr>
        <w:t>In May 2013, the Legislature clarified the scope of the Commission’s jurisdiction by passing SB-1238. Under the new legislation, the Commission may investigate complaints involving forensic disciplines that are not subject to accreditation under Texas law, with the exception of autopsies. The Commission may also affirmatively initiate an investigation of a forensic analysis for educational purposes without receiving a complaint if the Commission determines by majority vote that the investigation would advance the integrity and reliability of forensic science in Texas.</w:t>
      </w:r>
    </w:p>
    <w:p w14:paraId="58C4F680" w14:textId="77777777" w:rsidR="0091310B" w:rsidRDefault="0091310B" w:rsidP="0091310B">
      <w:pPr>
        <w:shd w:val="clear" w:color="auto" w:fill="FFFFFF"/>
        <w:jc w:val="both"/>
        <w:rPr>
          <w:rFonts w:eastAsia="Times New Roman" w:cstheme="minorHAnsi"/>
          <w:color w:val="333333"/>
          <w:lang w:val="en"/>
        </w:rPr>
      </w:pPr>
    </w:p>
    <w:p w14:paraId="5FC22A02" w14:textId="4CB7B4F7" w:rsidR="0091310B" w:rsidRPr="0091310B" w:rsidRDefault="0091310B" w:rsidP="0091310B">
      <w:pPr>
        <w:shd w:val="clear" w:color="auto" w:fill="FFFFFF"/>
        <w:jc w:val="both"/>
        <w:rPr>
          <w:rFonts w:eastAsia="Times New Roman" w:cstheme="minorHAnsi"/>
          <w:color w:val="333333"/>
          <w:lang w:val="en"/>
        </w:rPr>
      </w:pPr>
      <w:r>
        <w:rPr>
          <w:rFonts w:eastAsia="Times New Roman" w:cstheme="minorHAnsi"/>
          <w:color w:val="333333"/>
          <w:lang w:val="en"/>
        </w:rPr>
        <w:tab/>
      </w:r>
      <w:r w:rsidRPr="0091310B">
        <w:rPr>
          <w:rFonts w:eastAsia="Times New Roman" w:cstheme="minorHAnsi"/>
          <w:color w:val="333333"/>
          <w:lang w:val="en"/>
        </w:rPr>
        <w:t xml:space="preserve">In June 2015, the Legislature again expanded the scope of the Commission’s responsibilities by passing SB-1287. SB-1287 transferred Texas’ Crime Laboratory Accreditation Program oversight from the Texas Department of Public Safety to the Texas Forensic Science Commission. In response to the legislation, the Commission established an accreditation process for crime laboratories and other entities conducting forensic analyses for use in criminal proceedings. As part of its accreditation mandate, the Commission is responsible for establishing procedures, policies, and practices to improve the quality of forensic analyses conducted in Texas. Please see our </w:t>
      </w:r>
      <w:hyperlink r:id="rId6" w:tooltip="Accreditation" w:history="1">
        <w:r w:rsidRPr="0091310B">
          <w:rPr>
            <w:rFonts w:eastAsia="Times New Roman" w:cstheme="minorHAnsi"/>
            <w:color w:val="0059AD"/>
            <w:lang w:val="en"/>
          </w:rPr>
          <w:t>Accreditation</w:t>
        </w:r>
      </w:hyperlink>
      <w:r w:rsidRPr="0091310B">
        <w:rPr>
          <w:rFonts w:eastAsia="Times New Roman" w:cstheme="minorHAnsi"/>
          <w:color w:val="333333"/>
          <w:lang w:val="en"/>
        </w:rPr>
        <w:t xml:space="preserve"> page for more information.</w:t>
      </w:r>
    </w:p>
    <w:p w14:paraId="5F5D9030" w14:textId="77777777" w:rsidR="0091310B" w:rsidRDefault="0091310B" w:rsidP="0091310B">
      <w:pPr>
        <w:shd w:val="clear" w:color="auto" w:fill="FFFFFF"/>
        <w:jc w:val="both"/>
        <w:rPr>
          <w:rFonts w:eastAsia="Times New Roman" w:cstheme="minorHAnsi"/>
          <w:color w:val="333333"/>
          <w:lang w:val="en"/>
        </w:rPr>
      </w:pPr>
    </w:p>
    <w:p w14:paraId="36D26F9C" w14:textId="0A9E962E" w:rsidR="0091310B" w:rsidRPr="0091310B" w:rsidRDefault="0091310B" w:rsidP="0091310B">
      <w:pPr>
        <w:shd w:val="clear" w:color="auto" w:fill="FFFFFF"/>
        <w:jc w:val="both"/>
        <w:rPr>
          <w:rFonts w:eastAsia="Times New Roman" w:cstheme="minorHAnsi"/>
          <w:color w:val="333333"/>
          <w:lang w:val="en"/>
        </w:rPr>
      </w:pPr>
      <w:r>
        <w:rPr>
          <w:rFonts w:eastAsia="Times New Roman" w:cstheme="minorHAnsi"/>
          <w:color w:val="333333"/>
          <w:lang w:val="en"/>
        </w:rPr>
        <w:lastRenderedPageBreak/>
        <w:tab/>
      </w:r>
      <w:r w:rsidRPr="0091310B">
        <w:rPr>
          <w:rFonts w:eastAsia="Times New Roman" w:cstheme="minorHAnsi"/>
          <w:color w:val="333333"/>
          <w:lang w:val="en"/>
        </w:rPr>
        <w:t xml:space="preserve">SB-1287 also requires the Commission to establish licensing programs for forensic disciplines subject to accreditation in Texas. The Commission may also by rule establish licensing programs for disciplines not subject to accreditation. Forensic analysts in Texas are required to be licensed by January 1, 2019.  For more information on the implementation and development of the Commission’s licensing program, and to see a list of forensic disciplines subject to accreditation in Texas, please see our </w:t>
      </w:r>
      <w:hyperlink r:id="rId7" w:tooltip="Licensing" w:history="1">
        <w:r w:rsidRPr="0091310B">
          <w:rPr>
            <w:rFonts w:eastAsia="Times New Roman" w:cstheme="minorHAnsi"/>
            <w:color w:val="0059AD"/>
            <w:lang w:val="en"/>
          </w:rPr>
          <w:t>Licensing</w:t>
        </w:r>
      </w:hyperlink>
      <w:r w:rsidRPr="0091310B">
        <w:rPr>
          <w:rFonts w:eastAsia="Times New Roman" w:cstheme="minorHAnsi"/>
          <w:color w:val="333333"/>
          <w:lang w:val="en"/>
        </w:rPr>
        <w:t xml:space="preserve"> page.</w:t>
      </w:r>
    </w:p>
    <w:p w14:paraId="4FA1FAA3" w14:textId="77777777" w:rsidR="0091310B" w:rsidRDefault="0091310B" w:rsidP="0091310B">
      <w:pPr>
        <w:shd w:val="clear" w:color="auto" w:fill="FFFFFF"/>
        <w:jc w:val="both"/>
        <w:rPr>
          <w:rFonts w:eastAsia="Times New Roman" w:cstheme="minorHAnsi"/>
          <w:color w:val="333333"/>
          <w:lang w:val="en"/>
        </w:rPr>
      </w:pPr>
    </w:p>
    <w:p w14:paraId="42108831" w14:textId="3EA63DD3" w:rsidR="0091310B" w:rsidRPr="0091310B" w:rsidRDefault="0091310B" w:rsidP="0091310B">
      <w:pPr>
        <w:shd w:val="clear" w:color="auto" w:fill="FFFFFF"/>
        <w:jc w:val="both"/>
        <w:rPr>
          <w:rFonts w:eastAsia="Times New Roman" w:cstheme="minorHAnsi"/>
          <w:color w:val="333333"/>
          <w:lang w:val="en"/>
        </w:rPr>
      </w:pPr>
      <w:r>
        <w:rPr>
          <w:rFonts w:eastAsia="Times New Roman" w:cstheme="minorHAnsi"/>
          <w:color w:val="333333"/>
          <w:lang w:val="en"/>
        </w:rPr>
        <w:tab/>
      </w:r>
      <w:r w:rsidRPr="0091310B">
        <w:rPr>
          <w:rFonts w:eastAsia="Times New Roman" w:cstheme="minorHAnsi"/>
          <w:color w:val="333333"/>
          <w:lang w:val="en"/>
        </w:rPr>
        <w:t>The Commission has nine members, all appointed by the Governor of Texas. Seven of the members are scientists and two are attorneys (one prosecutor and one defense attorney). The Commission’s presiding officer is designated by the Governor.</w:t>
      </w:r>
    </w:p>
    <w:p w14:paraId="6D9F2C94" w14:textId="77777777" w:rsidR="0091310B" w:rsidRDefault="0091310B" w:rsidP="0091310B">
      <w:pPr>
        <w:shd w:val="clear" w:color="auto" w:fill="FFFFFF"/>
        <w:jc w:val="both"/>
        <w:rPr>
          <w:rFonts w:eastAsia="Times New Roman" w:cstheme="minorHAnsi"/>
          <w:color w:val="333333"/>
          <w:lang w:val="en"/>
        </w:rPr>
      </w:pPr>
    </w:p>
    <w:p w14:paraId="0F459572" w14:textId="00F423FA" w:rsidR="0091310B" w:rsidRPr="0091310B" w:rsidRDefault="0091310B" w:rsidP="0091310B">
      <w:pPr>
        <w:shd w:val="clear" w:color="auto" w:fill="FFFFFF"/>
        <w:jc w:val="both"/>
        <w:rPr>
          <w:rFonts w:eastAsia="Times New Roman" w:cstheme="minorHAnsi"/>
          <w:color w:val="333333"/>
          <w:lang w:val="en"/>
        </w:rPr>
      </w:pPr>
      <w:r>
        <w:rPr>
          <w:rFonts w:eastAsia="Times New Roman" w:cstheme="minorHAnsi"/>
          <w:color w:val="333333"/>
          <w:lang w:val="en"/>
        </w:rPr>
        <w:tab/>
      </w:r>
      <w:bookmarkStart w:id="0" w:name="_GoBack"/>
      <w:bookmarkEnd w:id="0"/>
      <w:r w:rsidRPr="0091310B">
        <w:rPr>
          <w:rFonts w:eastAsia="Times New Roman" w:cstheme="minorHAnsi"/>
          <w:color w:val="333333"/>
          <w:lang w:val="en"/>
        </w:rPr>
        <w:t>The Commission is also actively engaged in various forensic development initiatives, and works collaboratively with stakeholders in the criminal justice system to improve education and training in forensic science and the law.</w:t>
      </w:r>
    </w:p>
    <w:p w14:paraId="65920DC9" w14:textId="77777777" w:rsidR="0091310B" w:rsidRPr="0091310B" w:rsidRDefault="0091310B" w:rsidP="0091310B">
      <w:pPr>
        <w:rPr>
          <w:rFonts w:cstheme="minorHAnsi"/>
          <w:lang w:val="en"/>
        </w:rPr>
      </w:pPr>
    </w:p>
    <w:sectPr w:rsidR="0091310B" w:rsidRPr="00913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0B"/>
    <w:rsid w:val="001832C5"/>
    <w:rsid w:val="0091310B"/>
    <w:rsid w:val="00A6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65F3"/>
  <w15:chartTrackingRefBased/>
  <w15:docId w15:val="{8F1259E8-5516-41B0-B665-F0D9545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10B"/>
    <w:rPr>
      <w:color w:val="0563C1" w:themeColor="hyperlink"/>
      <w:u w:val="single"/>
    </w:rPr>
  </w:style>
  <w:style w:type="character" w:styleId="UnresolvedMention">
    <w:name w:val="Unresolved Mention"/>
    <w:basedOn w:val="DefaultParagraphFont"/>
    <w:uiPriority w:val="99"/>
    <w:semiHidden/>
    <w:unhideWhenUsed/>
    <w:rsid w:val="00913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61424">
      <w:bodyDiv w:val="1"/>
      <w:marLeft w:val="0"/>
      <w:marRight w:val="0"/>
      <w:marTop w:val="0"/>
      <w:marBottom w:val="0"/>
      <w:divBdr>
        <w:top w:val="none" w:sz="0" w:space="0" w:color="auto"/>
        <w:left w:val="none" w:sz="0" w:space="0" w:color="auto"/>
        <w:bottom w:val="none" w:sz="0" w:space="0" w:color="auto"/>
        <w:right w:val="none" w:sz="0" w:space="0" w:color="auto"/>
      </w:divBdr>
      <w:divsChild>
        <w:div w:id="875657949">
          <w:marLeft w:val="0"/>
          <w:marRight w:val="0"/>
          <w:marTop w:val="0"/>
          <w:marBottom w:val="0"/>
          <w:divBdr>
            <w:top w:val="none" w:sz="0" w:space="0" w:color="auto"/>
            <w:left w:val="none" w:sz="0" w:space="0" w:color="auto"/>
            <w:bottom w:val="none" w:sz="0" w:space="0" w:color="auto"/>
            <w:right w:val="none" w:sz="0" w:space="0" w:color="auto"/>
          </w:divBdr>
          <w:divsChild>
            <w:div w:id="2070303891">
              <w:marLeft w:val="0"/>
              <w:marRight w:val="0"/>
              <w:marTop w:val="0"/>
              <w:marBottom w:val="0"/>
              <w:divBdr>
                <w:top w:val="none" w:sz="0" w:space="0" w:color="auto"/>
                <w:left w:val="none" w:sz="0" w:space="0" w:color="auto"/>
                <w:bottom w:val="none" w:sz="0" w:space="0" w:color="auto"/>
                <w:right w:val="none" w:sz="0" w:space="0" w:color="auto"/>
              </w:divBdr>
              <w:divsChild>
                <w:div w:id="1624774911">
                  <w:marLeft w:val="0"/>
                  <w:marRight w:val="0"/>
                  <w:marTop w:val="0"/>
                  <w:marBottom w:val="0"/>
                  <w:divBdr>
                    <w:top w:val="none" w:sz="0" w:space="0" w:color="auto"/>
                    <w:left w:val="none" w:sz="0" w:space="0" w:color="auto"/>
                    <w:bottom w:val="none" w:sz="0" w:space="0" w:color="auto"/>
                    <w:right w:val="none" w:sz="0" w:space="0" w:color="auto"/>
                  </w:divBdr>
                  <w:divsChild>
                    <w:div w:id="195385710">
                      <w:marLeft w:val="0"/>
                      <w:marRight w:val="0"/>
                      <w:marTop w:val="0"/>
                      <w:marBottom w:val="0"/>
                      <w:divBdr>
                        <w:top w:val="none" w:sz="0" w:space="0" w:color="auto"/>
                        <w:left w:val="none" w:sz="0" w:space="0" w:color="auto"/>
                        <w:bottom w:val="none" w:sz="0" w:space="0" w:color="auto"/>
                        <w:right w:val="none" w:sz="0" w:space="0" w:color="auto"/>
                      </w:divBdr>
                      <w:divsChild>
                        <w:div w:id="1879194311">
                          <w:marLeft w:val="0"/>
                          <w:marRight w:val="0"/>
                          <w:marTop w:val="0"/>
                          <w:marBottom w:val="0"/>
                          <w:divBdr>
                            <w:top w:val="none" w:sz="0" w:space="0" w:color="auto"/>
                            <w:left w:val="none" w:sz="0" w:space="0" w:color="auto"/>
                            <w:bottom w:val="none" w:sz="0" w:space="0" w:color="auto"/>
                            <w:right w:val="none" w:sz="0" w:space="0" w:color="auto"/>
                          </w:divBdr>
                          <w:divsChild>
                            <w:div w:id="573202979">
                              <w:marLeft w:val="0"/>
                              <w:marRight w:val="0"/>
                              <w:marTop w:val="0"/>
                              <w:marBottom w:val="0"/>
                              <w:divBdr>
                                <w:top w:val="none" w:sz="0" w:space="0" w:color="auto"/>
                                <w:left w:val="none" w:sz="0" w:space="0" w:color="auto"/>
                                <w:bottom w:val="none" w:sz="0" w:space="0" w:color="auto"/>
                                <w:right w:val="none" w:sz="0" w:space="0" w:color="auto"/>
                              </w:divBdr>
                              <w:divsChild>
                                <w:div w:id="461966591">
                                  <w:marLeft w:val="0"/>
                                  <w:marRight w:val="0"/>
                                  <w:marTop w:val="0"/>
                                  <w:marBottom w:val="0"/>
                                  <w:divBdr>
                                    <w:top w:val="none" w:sz="0" w:space="0" w:color="auto"/>
                                    <w:left w:val="none" w:sz="0" w:space="0" w:color="auto"/>
                                    <w:bottom w:val="none" w:sz="0" w:space="0" w:color="auto"/>
                                    <w:right w:val="none" w:sz="0" w:space="0" w:color="auto"/>
                                  </w:divBdr>
                                  <w:divsChild>
                                    <w:div w:id="1695379017">
                                      <w:marLeft w:val="0"/>
                                      <w:marRight w:val="0"/>
                                      <w:marTop w:val="100"/>
                                      <w:marBottom w:val="100"/>
                                      <w:divBdr>
                                        <w:top w:val="none" w:sz="0" w:space="0" w:color="auto"/>
                                        <w:left w:val="none" w:sz="0" w:space="0" w:color="auto"/>
                                        <w:bottom w:val="none" w:sz="0" w:space="0" w:color="auto"/>
                                        <w:right w:val="none" w:sz="0" w:space="0" w:color="auto"/>
                                      </w:divBdr>
                                      <w:divsChild>
                                        <w:div w:id="504168707">
                                          <w:marLeft w:val="0"/>
                                          <w:marRight w:val="0"/>
                                          <w:marTop w:val="0"/>
                                          <w:marBottom w:val="0"/>
                                          <w:divBdr>
                                            <w:top w:val="none" w:sz="0" w:space="0" w:color="auto"/>
                                            <w:left w:val="none" w:sz="0" w:space="0" w:color="auto"/>
                                            <w:bottom w:val="none" w:sz="0" w:space="0" w:color="auto"/>
                                            <w:right w:val="none" w:sz="0" w:space="0" w:color="auto"/>
                                          </w:divBdr>
                                          <w:divsChild>
                                            <w:div w:id="1220938033">
                                              <w:marLeft w:val="0"/>
                                              <w:marRight w:val="0"/>
                                              <w:marTop w:val="0"/>
                                              <w:marBottom w:val="0"/>
                                              <w:divBdr>
                                                <w:top w:val="none" w:sz="0" w:space="0" w:color="auto"/>
                                                <w:left w:val="none" w:sz="0" w:space="0" w:color="auto"/>
                                                <w:bottom w:val="none" w:sz="0" w:space="0" w:color="auto"/>
                                                <w:right w:val="none" w:sz="0" w:space="0" w:color="auto"/>
                                              </w:divBdr>
                                              <w:divsChild>
                                                <w:div w:id="149518111">
                                                  <w:marLeft w:val="0"/>
                                                  <w:marRight w:val="0"/>
                                                  <w:marTop w:val="0"/>
                                                  <w:marBottom w:val="0"/>
                                                  <w:divBdr>
                                                    <w:top w:val="none" w:sz="0" w:space="0" w:color="auto"/>
                                                    <w:left w:val="none" w:sz="0" w:space="0" w:color="auto"/>
                                                    <w:bottom w:val="none" w:sz="0" w:space="0" w:color="auto"/>
                                                    <w:right w:val="none" w:sz="0" w:space="0" w:color="auto"/>
                                                  </w:divBdr>
                                                </w:div>
                                                <w:div w:id="292446811">
                                                  <w:marLeft w:val="0"/>
                                                  <w:marRight w:val="0"/>
                                                  <w:marTop w:val="0"/>
                                                  <w:marBottom w:val="0"/>
                                                  <w:divBdr>
                                                    <w:top w:val="none" w:sz="0" w:space="0" w:color="auto"/>
                                                    <w:left w:val="none" w:sz="0" w:space="0" w:color="auto"/>
                                                    <w:bottom w:val="none" w:sz="0" w:space="0" w:color="auto"/>
                                                    <w:right w:val="none" w:sz="0" w:space="0" w:color="auto"/>
                                                  </w:divBdr>
                                                </w:div>
                                                <w:div w:id="16633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844239">
      <w:bodyDiv w:val="1"/>
      <w:marLeft w:val="0"/>
      <w:marRight w:val="0"/>
      <w:marTop w:val="0"/>
      <w:marBottom w:val="0"/>
      <w:divBdr>
        <w:top w:val="none" w:sz="0" w:space="0" w:color="auto"/>
        <w:left w:val="none" w:sz="0" w:space="0" w:color="auto"/>
        <w:bottom w:val="none" w:sz="0" w:space="0" w:color="auto"/>
        <w:right w:val="none" w:sz="0" w:space="0" w:color="auto"/>
      </w:divBdr>
      <w:divsChild>
        <w:div w:id="1923490439">
          <w:marLeft w:val="0"/>
          <w:marRight w:val="0"/>
          <w:marTop w:val="0"/>
          <w:marBottom w:val="0"/>
          <w:divBdr>
            <w:top w:val="none" w:sz="0" w:space="0" w:color="auto"/>
            <w:left w:val="none" w:sz="0" w:space="0" w:color="auto"/>
            <w:bottom w:val="none" w:sz="0" w:space="0" w:color="auto"/>
            <w:right w:val="none" w:sz="0" w:space="0" w:color="auto"/>
          </w:divBdr>
          <w:divsChild>
            <w:div w:id="1165242604">
              <w:marLeft w:val="0"/>
              <w:marRight w:val="0"/>
              <w:marTop w:val="0"/>
              <w:marBottom w:val="0"/>
              <w:divBdr>
                <w:top w:val="none" w:sz="0" w:space="0" w:color="auto"/>
                <w:left w:val="none" w:sz="0" w:space="0" w:color="auto"/>
                <w:bottom w:val="none" w:sz="0" w:space="0" w:color="auto"/>
                <w:right w:val="none" w:sz="0" w:space="0" w:color="auto"/>
              </w:divBdr>
              <w:divsChild>
                <w:div w:id="1019814392">
                  <w:marLeft w:val="0"/>
                  <w:marRight w:val="0"/>
                  <w:marTop w:val="0"/>
                  <w:marBottom w:val="0"/>
                  <w:divBdr>
                    <w:top w:val="none" w:sz="0" w:space="0" w:color="auto"/>
                    <w:left w:val="none" w:sz="0" w:space="0" w:color="auto"/>
                    <w:bottom w:val="none" w:sz="0" w:space="0" w:color="auto"/>
                    <w:right w:val="none" w:sz="0" w:space="0" w:color="auto"/>
                  </w:divBdr>
                  <w:divsChild>
                    <w:div w:id="1619332599">
                      <w:marLeft w:val="0"/>
                      <w:marRight w:val="0"/>
                      <w:marTop w:val="0"/>
                      <w:marBottom w:val="0"/>
                      <w:divBdr>
                        <w:top w:val="none" w:sz="0" w:space="0" w:color="auto"/>
                        <w:left w:val="none" w:sz="0" w:space="0" w:color="auto"/>
                        <w:bottom w:val="none" w:sz="0" w:space="0" w:color="auto"/>
                        <w:right w:val="none" w:sz="0" w:space="0" w:color="auto"/>
                      </w:divBdr>
                      <w:divsChild>
                        <w:div w:id="266040824">
                          <w:marLeft w:val="0"/>
                          <w:marRight w:val="0"/>
                          <w:marTop w:val="0"/>
                          <w:marBottom w:val="0"/>
                          <w:divBdr>
                            <w:top w:val="none" w:sz="0" w:space="0" w:color="auto"/>
                            <w:left w:val="none" w:sz="0" w:space="0" w:color="auto"/>
                            <w:bottom w:val="none" w:sz="0" w:space="0" w:color="auto"/>
                            <w:right w:val="none" w:sz="0" w:space="0" w:color="auto"/>
                          </w:divBdr>
                          <w:divsChild>
                            <w:div w:id="1937707903">
                              <w:marLeft w:val="0"/>
                              <w:marRight w:val="0"/>
                              <w:marTop w:val="0"/>
                              <w:marBottom w:val="0"/>
                              <w:divBdr>
                                <w:top w:val="none" w:sz="0" w:space="0" w:color="auto"/>
                                <w:left w:val="none" w:sz="0" w:space="0" w:color="auto"/>
                                <w:bottom w:val="none" w:sz="0" w:space="0" w:color="auto"/>
                                <w:right w:val="none" w:sz="0" w:space="0" w:color="auto"/>
                              </w:divBdr>
                              <w:divsChild>
                                <w:div w:id="1997686558">
                                  <w:marLeft w:val="0"/>
                                  <w:marRight w:val="0"/>
                                  <w:marTop w:val="0"/>
                                  <w:marBottom w:val="0"/>
                                  <w:divBdr>
                                    <w:top w:val="none" w:sz="0" w:space="0" w:color="auto"/>
                                    <w:left w:val="none" w:sz="0" w:space="0" w:color="auto"/>
                                    <w:bottom w:val="none" w:sz="0" w:space="0" w:color="auto"/>
                                    <w:right w:val="none" w:sz="0" w:space="0" w:color="auto"/>
                                  </w:divBdr>
                                  <w:divsChild>
                                    <w:div w:id="277613635">
                                      <w:marLeft w:val="0"/>
                                      <w:marRight w:val="0"/>
                                      <w:marTop w:val="100"/>
                                      <w:marBottom w:val="100"/>
                                      <w:divBdr>
                                        <w:top w:val="none" w:sz="0" w:space="0" w:color="auto"/>
                                        <w:left w:val="none" w:sz="0" w:space="0" w:color="auto"/>
                                        <w:bottom w:val="none" w:sz="0" w:space="0" w:color="auto"/>
                                        <w:right w:val="none" w:sz="0" w:space="0" w:color="auto"/>
                                      </w:divBdr>
                                      <w:divsChild>
                                        <w:div w:id="667633456">
                                          <w:marLeft w:val="0"/>
                                          <w:marRight w:val="0"/>
                                          <w:marTop w:val="0"/>
                                          <w:marBottom w:val="0"/>
                                          <w:divBdr>
                                            <w:top w:val="none" w:sz="0" w:space="0" w:color="auto"/>
                                            <w:left w:val="none" w:sz="0" w:space="0" w:color="auto"/>
                                            <w:bottom w:val="none" w:sz="0" w:space="0" w:color="auto"/>
                                            <w:right w:val="none" w:sz="0" w:space="0" w:color="auto"/>
                                          </w:divBdr>
                                          <w:divsChild>
                                            <w:div w:id="169951217">
                                              <w:marLeft w:val="0"/>
                                              <w:marRight w:val="0"/>
                                              <w:marTop w:val="0"/>
                                              <w:marBottom w:val="0"/>
                                              <w:divBdr>
                                                <w:top w:val="none" w:sz="0" w:space="0" w:color="auto"/>
                                                <w:left w:val="none" w:sz="0" w:space="0" w:color="auto"/>
                                                <w:bottom w:val="none" w:sz="0" w:space="0" w:color="auto"/>
                                                <w:right w:val="none" w:sz="0" w:space="0" w:color="auto"/>
                                              </w:divBdr>
                                              <w:divsChild>
                                                <w:div w:id="17107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004395">
      <w:bodyDiv w:val="1"/>
      <w:marLeft w:val="0"/>
      <w:marRight w:val="0"/>
      <w:marTop w:val="0"/>
      <w:marBottom w:val="0"/>
      <w:divBdr>
        <w:top w:val="none" w:sz="0" w:space="0" w:color="auto"/>
        <w:left w:val="none" w:sz="0" w:space="0" w:color="auto"/>
        <w:bottom w:val="none" w:sz="0" w:space="0" w:color="auto"/>
        <w:right w:val="none" w:sz="0" w:space="0" w:color="auto"/>
      </w:divBdr>
      <w:divsChild>
        <w:div w:id="707687597">
          <w:marLeft w:val="0"/>
          <w:marRight w:val="0"/>
          <w:marTop w:val="0"/>
          <w:marBottom w:val="0"/>
          <w:divBdr>
            <w:top w:val="none" w:sz="0" w:space="0" w:color="auto"/>
            <w:left w:val="none" w:sz="0" w:space="0" w:color="auto"/>
            <w:bottom w:val="none" w:sz="0" w:space="0" w:color="auto"/>
            <w:right w:val="none" w:sz="0" w:space="0" w:color="auto"/>
          </w:divBdr>
          <w:divsChild>
            <w:div w:id="2011983227">
              <w:marLeft w:val="0"/>
              <w:marRight w:val="0"/>
              <w:marTop w:val="0"/>
              <w:marBottom w:val="0"/>
              <w:divBdr>
                <w:top w:val="none" w:sz="0" w:space="0" w:color="auto"/>
                <w:left w:val="none" w:sz="0" w:space="0" w:color="auto"/>
                <w:bottom w:val="none" w:sz="0" w:space="0" w:color="auto"/>
                <w:right w:val="none" w:sz="0" w:space="0" w:color="auto"/>
              </w:divBdr>
              <w:divsChild>
                <w:div w:id="1277249250">
                  <w:marLeft w:val="0"/>
                  <w:marRight w:val="0"/>
                  <w:marTop w:val="0"/>
                  <w:marBottom w:val="0"/>
                  <w:divBdr>
                    <w:top w:val="none" w:sz="0" w:space="0" w:color="auto"/>
                    <w:left w:val="none" w:sz="0" w:space="0" w:color="auto"/>
                    <w:bottom w:val="none" w:sz="0" w:space="0" w:color="auto"/>
                    <w:right w:val="none" w:sz="0" w:space="0" w:color="auto"/>
                  </w:divBdr>
                  <w:divsChild>
                    <w:div w:id="557857635">
                      <w:marLeft w:val="0"/>
                      <w:marRight w:val="0"/>
                      <w:marTop w:val="0"/>
                      <w:marBottom w:val="0"/>
                      <w:divBdr>
                        <w:top w:val="none" w:sz="0" w:space="0" w:color="auto"/>
                        <w:left w:val="none" w:sz="0" w:space="0" w:color="auto"/>
                        <w:bottom w:val="none" w:sz="0" w:space="0" w:color="auto"/>
                        <w:right w:val="none" w:sz="0" w:space="0" w:color="auto"/>
                      </w:divBdr>
                      <w:divsChild>
                        <w:div w:id="1437752898">
                          <w:marLeft w:val="0"/>
                          <w:marRight w:val="0"/>
                          <w:marTop w:val="0"/>
                          <w:marBottom w:val="0"/>
                          <w:divBdr>
                            <w:top w:val="none" w:sz="0" w:space="0" w:color="auto"/>
                            <w:left w:val="none" w:sz="0" w:space="0" w:color="auto"/>
                            <w:bottom w:val="none" w:sz="0" w:space="0" w:color="auto"/>
                            <w:right w:val="none" w:sz="0" w:space="0" w:color="auto"/>
                          </w:divBdr>
                          <w:divsChild>
                            <w:div w:id="1533763266">
                              <w:marLeft w:val="0"/>
                              <w:marRight w:val="0"/>
                              <w:marTop w:val="100"/>
                              <w:marBottom w:val="100"/>
                              <w:divBdr>
                                <w:top w:val="none" w:sz="0" w:space="0" w:color="auto"/>
                                <w:left w:val="none" w:sz="0" w:space="0" w:color="auto"/>
                                <w:bottom w:val="none" w:sz="0" w:space="0" w:color="auto"/>
                                <w:right w:val="none" w:sz="0" w:space="0" w:color="auto"/>
                              </w:divBdr>
                              <w:divsChild>
                                <w:div w:id="654797880">
                                  <w:marLeft w:val="0"/>
                                  <w:marRight w:val="0"/>
                                  <w:marTop w:val="0"/>
                                  <w:marBottom w:val="0"/>
                                  <w:divBdr>
                                    <w:top w:val="none" w:sz="0" w:space="0" w:color="auto"/>
                                    <w:left w:val="none" w:sz="0" w:space="0" w:color="auto"/>
                                    <w:bottom w:val="none" w:sz="0" w:space="0" w:color="auto"/>
                                    <w:right w:val="none" w:sz="0" w:space="0" w:color="auto"/>
                                  </w:divBdr>
                                  <w:divsChild>
                                    <w:div w:id="249431418">
                                      <w:marLeft w:val="0"/>
                                      <w:marRight w:val="0"/>
                                      <w:marTop w:val="0"/>
                                      <w:marBottom w:val="0"/>
                                      <w:divBdr>
                                        <w:top w:val="none" w:sz="0" w:space="0" w:color="auto"/>
                                        <w:left w:val="none" w:sz="0" w:space="0" w:color="auto"/>
                                        <w:bottom w:val="none" w:sz="0" w:space="0" w:color="auto"/>
                                        <w:right w:val="none" w:sz="0" w:space="0" w:color="auto"/>
                                      </w:divBdr>
                                      <w:divsChild>
                                        <w:div w:id="851341060">
                                          <w:marLeft w:val="0"/>
                                          <w:marRight w:val="0"/>
                                          <w:marTop w:val="0"/>
                                          <w:marBottom w:val="300"/>
                                          <w:divBdr>
                                            <w:top w:val="single" w:sz="6" w:space="11" w:color="DDDDDD"/>
                                            <w:left w:val="single" w:sz="6" w:space="0" w:color="DDDDDD"/>
                                            <w:bottom w:val="single" w:sz="6" w:space="11" w:color="DDDDDD"/>
                                            <w:right w:val="single" w:sz="6" w:space="0" w:color="DDDDDD"/>
                                          </w:divBdr>
                                          <w:divsChild>
                                            <w:div w:id="1343051436">
                                              <w:marLeft w:val="0"/>
                                              <w:marRight w:val="0"/>
                                              <w:marTop w:val="0"/>
                                              <w:marBottom w:val="0"/>
                                              <w:divBdr>
                                                <w:top w:val="none" w:sz="0" w:space="0" w:color="auto"/>
                                                <w:left w:val="none" w:sz="0" w:space="0" w:color="auto"/>
                                                <w:bottom w:val="none" w:sz="0" w:space="0" w:color="auto"/>
                                                <w:right w:val="none" w:sz="0" w:space="0" w:color="auto"/>
                                              </w:divBdr>
                                              <w:divsChild>
                                                <w:div w:id="1848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xcourts.gov/fsc/licens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xcourts.gov/fsc/accreditation/" TargetMode="External"/><Relationship Id="rId5" Type="http://schemas.openxmlformats.org/officeDocument/2006/relationships/hyperlink" Target="mailto:info@fsc.texas.gov" TargetMode="External"/><Relationship Id="rId4" Type="http://schemas.openxmlformats.org/officeDocument/2006/relationships/hyperlink" Target="http://www.txcourts.gov/fsc/about-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Kepple</dc:creator>
  <cp:keywords/>
  <dc:description/>
  <cp:lastModifiedBy>Robert Kepple</cp:lastModifiedBy>
  <cp:revision>1</cp:revision>
  <dcterms:created xsi:type="dcterms:W3CDTF">2018-09-06T13:22:00Z</dcterms:created>
  <dcterms:modified xsi:type="dcterms:W3CDTF">2018-09-06T13:28:00Z</dcterms:modified>
</cp:coreProperties>
</file>