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649E" w14:textId="77777777" w:rsidR="00524E5F" w:rsidRPr="00524E5F" w:rsidRDefault="00524E5F" w:rsidP="00524E5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352B9F" w:rsidRPr="007E2F2C" w14:paraId="0964EC3B" w14:textId="77777777" w:rsidTr="007E2F2C">
        <w:tc>
          <w:tcPr>
            <w:tcW w:w="4320" w:type="dxa"/>
            <w:shd w:val="clear" w:color="auto" w:fill="auto"/>
            <w:vAlign w:val="center"/>
          </w:tcPr>
          <w:p w14:paraId="2BD2CC54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COUNTY OF HAYS</w:t>
            </w:r>
          </w:p>
        </w:tc>
        <w:tc>
          <w:tcPr>
            <w:tcW w:w="720" w:type="dxa"/>
            <w:shd w:val="clear" w:color="auto" w:fill="auto"/>
          </w:tcPr>
          <w:p w14:paraId="50F57E91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75056886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6B87D370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In Re</w:t>
            </w:r>
          </w:p>
          <w:p w14:paraId="54C76C24" w14:textId="77777777" w:rsidR="00352B9F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Grand Jury Proceedings</w:t>
            </w:r>
          </w:p>
          <w:p w14:paraId="018C960C" w14:textId="77777777" w:rsidR="00187AF1" w:rsidRPr="007E2F2C" w:rsidRDefault="00187AF1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January 2020 Term</w:t>
            </w:r>
          </w:p>
        </w:tc>
      </w:tr>
      <w:tr w:rsidR="00352B9F" w:rsidRPr="007E2F2C" w14:paraId="2D3CDED9" w14:textId="77777777" w:rsidTr="007E2F2C">
        <w:tc>
          <w:tcPr>
            <w:tcW w:w="4320" w:type="dxa"/>
            <w:shd w:val="clear" w:color="auto" w:fill="auto"/>
            <w:vAlign w:val="center"/>
          </w:tcPr>
          <w:p w14:paraId="7FC74ACE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B8DAF18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2582FD51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352B9F" w:rsidRPr="007E2F2C" w14:paraId="3E833238" w14:textId="77777777" w:rsidTr="007E2F2C">
        <w:tc>
          <w:tcPr>
            <w:tcW w:w="4320" w:type="dxa"/>
            <w:shd w:val="clear" w:color="auto" w:fill="auto"/>
            <w:vAlign w:val="center"/>
          </w:tcPr>
          <w:p w14:paraId="133DFD2E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STATE OF TEXAS</w:t>
            </w:r>
          </w:p>
        </w:tc>
        <w:tc>
          <w:tcPr>
            <w:tcW w:w="720" w:type="dxa"/>
            <w:shd w:val="clear" w:color="auto" w:fill="auto"/>
          </w:tcPr>
          <w:p w14:paraId="4C269917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7FCBD6DA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49FE5EAF" w14:textId="77777777" w:rsidR="00352B9F" w:rsidRPr="007E2F2C" w:rsidRDefault="00352B9F" w:rsidP="007E2F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</w:p>
        </w:tc>
      </w:tr>
    </w:tbl>
    <w:p w14:paraId="4A2A7598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59EE2D98" w14:textId="77777777" w:rsidR="00524E5F" w:rsidRPr="00524E5F" w:rsidRDefault="00524E5F" w:rsidP="00524E5F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before="140" w:after="140" w:line="240" w:lineRule="atLeast"/>
        <w:jc w:val="center"/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ORDER Modify</w:t>
      </w:r>
      <w:r w:rsidR="00352B9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ing</w:t>
      </w: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 xml:space="preserve"> Article 1</w:t>
      </w:r>
      <w:r w:rsidR="00586755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7</w:t>
      </w: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.151 Deadline</w:t>
      </w:r>
    </w:p>
    <w:p w14:paraId="21581735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4B7F10D0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Pursuant to the authority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 Regarding the COVID-19 State of Disaster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jointly issued by the Texas Supreme Court and the Texas Court of Criminal Appeals on March 13, 2020 (“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”), this Court hereby modifies the statutory 90-day deadline set forth in Texas Code of Criminal Procedure, Article 17.151</w:t>
      </w:r>
      <w:r w:rsidR="00352B9F">
        <w:rPr>
          <w:rFonts w:ascii="Times New Roman" w:eastAsia="Times New Roman" w:hAnsi="Times New Roman"/>
          <w:spacing w:val="-3"/>
          <w:sz w:val="28"/>
          <w:szCs w:val="28"/>
        </w:rPr>
        <w:t>,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87AF1">
        <w:rPr>
          <w:rFonts w:ascii="Times New Roman" w:eastAsia="Times New Roman" w:hAnsi="Times New Roman"/>
          <w:spacing w:val="-3"/>
          <w:sz w:val="28"/>
          <w:szCs w:val="28"/>
        </w:rPr>
        <w:t xml:space="preserve">as applied in Hays County, Texas,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to the first scheduled grand jury date following the expiration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(currently May 20, 2020</w:t>
      </w:r>
      <w:r w:rsidR="00352B9F">
        <w:rPr>
          <w:rFonts w:ascii="Times New Roman" w:eastAsia="Times New Roman" w:hAnsi="Times New Roman"/>
          <w:spacing w:val="-3"/>
          <w:sz w:val="28"/>
          <w:szCs w:val="28"/>
        </w:rPr>
        <w:t xml:space="preserve">, subject to extension if ordered by the Texas Supreme Court and the Texas Court of Criminal Appeals).  Unindicted </w:t>
      </w:r>
      <w:r w:rsidR="00187AF1">
        <w:rPr>
          <w:rFonts w:ascii="Times New Roman" w:eastAsia="Times New Roman" w:hAnsi="Times New Roman"/>
          <w:spacing w:val="-3"/>
          <w:sz w:val="28"/>
          <w:szCs w:val="28"/>
        </w:rPr>
        <w:t xml:space="preserve">Hays County, Texas, </w:t>
      </w:r>
      <w:r w:rsidR="00352B9F">
        <w:rPr>
          <w:rFonts w:ascii="Times New Roman" w:eastAsia="Times New Roman" w:hAnsi="Times New Roman"/>
          <w:spacing w:val="-3"/>
          <w:sz w:val="28"/>
          <w:szCs w:val="28"/>
        </w:rPr>
        <w:t xml:space="preserve">felony allegations not filed before that date are therefore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not in violation of Article 17.151, § 1(1)</w:t>
      </w:r>
      <w:r w:rsidR="00352B9F">
        <w:rPr>
          <w:rFonts w:ascii="Times New Roman" w:eastAsia="Times New Roman" w:hAnsi="Times New Roman"/>
          <w:spacing w:val="-3"/>
          <w:sz w:val="28"/>
          <w:szCs w:val="28"/>
        </w:rPr>
        <w:t xml:space="preserve"> unless the accused had been in custody for more than 90 days prior to March 13, 2020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14:paraId="64B4DD1E" w14:textId="77777777" w:rsidR="00524E5F" w:rsidRPr="005D0FF3" w:rsidRDefault="00524E5F" w:rsidP="005D0FF3">
      <w:pPr>
        <w:widowControl w:val="0"/>
        <w:suppressAutoHyphens/>
        <w:autoSpaceDE w:val="0"/>
        <w:autoSpaceDN w:val="0"/>
        <w:adjustRightInd w:val="0"/>
        <w:spacing w:after="840" w:line="480" w:lineRule="atLeast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>Signed this _____ of ______</w:t>
      </w:r>
      <w:r w:rsidR="005D0FF3">
        <w:rPr>
          <w:rFonts w:ascii="Times New Roman" w:eastAsia="Times New Roman" w:hAnsi="Times New Roman"/>
          <w:spacing w:val="-3"/>
          <w:sz w:val="28"/>
          <w:szCs w:val="28"/>
        </w:rPr>
        <w:t>________________________, 2020.</w:t>
      </w:r>
    </w:p>
    <w:p w14:paraId="0993B4C6" w14:textId="77777777" w:rsidR="00524E5F" w:rsidRPr="00524E5F" w:rsidRDefault="00524E5F" w:rsidP="00524E5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24E5F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28AC07D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 w:rsidRPr="00524E5F">
        <w:rPr>
          <w:rFonts w:ascii="Times New Roman" w:eastAsia="Times New Roman" w:hAnsi="Times New Roman"/>
          <w:sz w:val="28"/>
          <w:szCs w:val="28"/>
        </w:rPr>
        <w:t>Presiding Judge</w:t>
      </w:r>
    </w:p>
    <w:p w14:paraId="20072380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 w:rsidRPr="00524E5F">
        <w:rPr>
          <w:rFonts w:ascii="Times New Roman" w:eastAsia="Times New Roman" w:hAnsi="Times New Roman"/>
          <w:sz w:val="28"/>
          <w:szCs w:val="28"/>
        </w:rPr>
        <w:t>_______ Judicial District Court</w:t>
      </w:r>
    </w:p>
    <w:p w14:paraId="4CE99FCC" w14:textId="77777777" w:rsidR="00524E5F" w:rsidRPr="00524E5F" w:rsidRDefault="00524E5F" w:rsidP="00524E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 w:rsidRPr="00524E5F">
        <w:rPr>
          <w:rFonts w:ascii="Times New Roman" w:eastAsia="Times New Roman" w:hAnsi="Times New Roman"/>
          <w:sz w:val="28"/>
          <w:szCs w:val="28"/>
        </w:rPr>
        <w:t>Hays County, Texas</w:t>
      </w:r>
    </w:p>
    <w:p w14:paraId="39A42BBA" w14:textId="77777777" w:rsidR="00524E5F" w:rsidRPr="00524E5F" w:rsidRDefault="00524E5F" w:rsidP="00524E5F"/>
    <w:p w14:paraId="6A2E5782" w14:textId="77777777" w:rsidR="005A79F7" w:rsidRDefault="005A79F7">
      <w:pPr>
        <w:spacing w:after="0" w:line="240" w:lineRule="auto"/>
      </w:pPr>
      <w:r>
        <w:br w:type="page"/>
      </w:r>
    </w:p>
    <w:p w14:paraId="0EE0075F" w14:textId="77777777" w:rsidR="005A79F7" w:rsidRPr="00524E5F" w:rsidRDefault="005A79F7" w:rsidP="005A79F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5A79F7" w:rsidRPr="007E2F2C" w14:paraId="1EEF30E3" w14:textId="77777777" w:rsidTr="00C538E9">
        <w:tc>
          <w:tcPr>
            <w:tcW w:w="4320" w:type="dxa"/>
            <w:shd w:val="clear" w:color="auto" w:fill="auto"/>
            <w:vAlign w:val="center"/>
          </w:tcPr>
          <w:p w14:paraId="438785A1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COUNTY OF HAYS</w:t>
            </w:r>
          </w:p>
        </w:tc>
        <w:tc>
          <w:tcPr>
            <w:tcW w:w="720" w:type="dxa"/>
            <w:shd w:val="clear" w:color="auto" w:fill="auto"/>
          </w:tcPr>
          <w:p w14:paraId="411E3B38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3FD2A2FE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0EC3C756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In Re</w:t>
            </w:r>
          </w:p>
          <w:p w14:paraId="07C2F8A6" w14:textId="77777777" w:rsidR="005A79F7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Grand Jury Proceedings</w:t>
            </w:r>
          </w:p>
          <w:p w14:paraId="5DC9B9F1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January 2020 Term</w:t>
            </w:r>
          </w:p>
        </w:tc>
      </w:tr>
      <w:tr w:rsidR="005A79F7" w:rsidRPr="007E2F2C" w14:paraId="48A6427A" w14:textId="77777777" w:rsidTr="00C538E9">
        <w:tc>
          <w:tcPr>
            <w:tcW w:w="4320" w:type="dxa"/>
            <w:shd w:val="clear" w:color="auto" w:fill="auto"/>
            <w:vAlign w:val="center"/>
          </w:tcPr>
          <w:p w14:paraId="5933423D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E810CD5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57D605B8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5A79F7" w:rsidRPr="007E2F2C" w14:paraId="2A124E1B" w14:textId="77777777" w:rsidTr="00C538E9">
        <w:tc>
          <w:tcPr>
            <w:tcW w:w="4320" w:type="dxa"/>
            <w:shd w:val="clear" w:color="auto" w:fill="auto"/>
            <w:vAlign w:val="center"/>
          </w:tcPr>
          <w:p w14:paraId="2D512BF8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STATE OF TEXAS</w:t>
            </w:r>
          </w:p>
        </w:tc>
        <w:tc>
          <w:tcPr>
            <w:tcW w:w="720" w:type="dxa"/>
            <w:shd w:val="clear" w:color="auto" w:fill="auto"/>
          </w:tcPr>
          <w:p w14:paraId="1E10A748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7FEE34FE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7073EB2F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</w:p>
        </w:tc>
      </w:tr>
    </w:tbl>
    <w:p w14:paraId="1B4B282B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2D50C29A" w14:textId="77777777" w:rsidR="005A79F7" w:rsidRPr="00524E5F" w:rsidRDefault="005A79F7" w:rsidP="005A79F7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before="140" w:after="140" w:line="240" w:lineRule="atLeast"/>
        <w:jc w:val="center"/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ORDER Modify</w:t>
      </w:r>
      <w:r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ing</w:t>
      </w: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 xml:space="preserve"> Article 1</w:t>
      </w:r>
      <w:r w:rsidR="00586755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7</w:t>
      </w: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.151 Deadline</w:t>
      </w:r>
    </w:p>
    <w:p w14:paraId="0E4664A4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3D8FA120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Pursuant to the authority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 Regarding the COVID-19 State of Disaster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jointly issued by the Texas Supreme Court and the Texas Court of Criminal Appeals on March 13, 2020 (“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”), this Court hereby modifies the statutory 90-day deadline set forth in Texas Code of Criminal Procedure, Article 17.151</w:t>
      </w:r>
      <w:r>
        <w:rPr>
          <w:rFonts w:ascii="Times New Roman" w:eastAsia="Times New Roman" w:hAnsi="Times New Roman"/>
          <w:spacing w:val="-3"/>
          <w:sz w:val="28"/>
          <w:szCs w:val="28"/>
        </w:rPr>
        <w:t>,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as applied in Hays County, Texas,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to the first scheduled grand jury date following the expiration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(currently May 20, 2020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, subject to extension if ordered by the Texas Supreme Court and the Texas Court of Criminal Appeals).  Unindicted Hays County, Texas, felony allegations not filed before that date are therefore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not in violation of Article 17.151, § 1(1)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unless the accused had been in custody for more than 90 days prior to March 13, 2020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14:paraId="4A250F48" w14:textId="77777777" w:rsidR="005A79F7" w:rsidRPr="005D0FF3" w:rsidRDefault="005A79F7" w:rsidP="005D0FF3">
      <w:pPr>
        <w:widowControl w:val="0"/>
        <w:suppressAutoHyphens/>
        <w:autoSpaceDE w:val="0"/>
        <w:autoSpaceDN w:val="0"/>
        <w:adjustRightInd w:val="0"/>
        <w:spacing w:after="840" w:line="480" w:lineRule="atLeast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>Signed this _____ of ______</w:t>
      </w:r>
      <w:r w:rsidR="005D0FF3">
        <w:rPr>
          <w:rFonts w:ascii="Times New Roman" w:eastAsia="Times New Roman" w:hAnsi="Times New Roman"/>
          <w:spacing w:val="-3"/>
          <w:sz w:val="28"/>
          <w:szCs w:val="28"/>
        </w:rPr>
        <w:t>________________________, 2020.</w:t>
      </w:r>
    </w:p>
    <w:p w14:paraId="0AC82203" w14:textId="77777777" w:rsidR="005A79F7" w:rsidRPr="00524E5F" w:rsidRDefault="005A79F7" w:rsidP="005A79F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24E5F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3ACD934C" w14:textId="77777777" w:rsidR="005A79F7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The Hon. Gary Steel</w:t>
      </w:r>
    </w:p>
    <w:p w14:paraId="7B98AC03" w14:textId="77777777" w:rsidR="005A79F7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Judge. 274</w:t>
      </w:r>
      <w:r w:rsidRPr="005A79F7"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/>
          <w:sz w:val="28"/>
          <w:szCs w:val="28"/>
        </w:rPr>
        <w:t xml:space="preserve"> Judicial District</w:t>
      </w:r>
    </w:p>
    <w:p w14:paraId="2B0BF464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Local Administrative</w:t>
      </w:r>
      <w:r w:rsidRPr="00524E5F">
        <w:rPr>
          <w:rFonts w:ascii="Times New Roman" w:eastAsia="Times New Roman" w:hAnsi="Times New Roman"/>
          <w:sz w:val="28"/>
          <w:szCs w:val="28"/>
        </w:rPr>
        <w:t xml:space="preserve"> Judge</w:t>
      </w:r>
    </w:p>
    <w:p w14:paraId="04AB5934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/>
          <w:sz w:val="28"/>
          <w:szCs w:val="28"/>
        </w:rPr>
      </w:pPr>
      <w:r w:rsidRPr="00524E5F">
        <w:rPr>
          <w:rFonts w:ascii="Times New Roman" w:eastAsia="Times New Roman" w:hAnsi="Times New Roman"/>
          <w:sz w:val="28"/>
          <w:szCs w:val="28"/>
        </w:rPr>
        <w:t>Hays County, Texas</w:t>
      </w:r>
    </w:p>
    <w:p w14:paraId="3C89CE32" w14:textId="77777777" w:rsidR="005A79F7" w:rsidRDefault="005A79F7">
      <w:pPr>
        <w:spacing w:after="0" w:line="240" w:lineRule="auto"/>
      </w:pPr>
      <w:r>
        <w:br w:type="page"/>
      </w:r>
    </w:p>
    <w:p w14:paraId="0DB837BF" w14:textId="77777777" w:rsidR="005A79F7" w:rsidRPr="00524E5F" w:rsidRDefault="005A79F7" w:rsidP="005A79F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5A79F7" w:rsidRPr="007E2F2C" w14:paraId="21A13A11" w14:textId="77777777" w:rsidTr="00C538E9">
        <w:tc>
          <w:tcPr>
            <w:tcW w:w="4320" w:type="dxa"/>
            <w:shd w:val="clear" w:color="auto" w:fill="auto"/>
            <w:vAlign w:val="center"/>
          </w:tcPr>
          <w:p w14:paraId="6F3F5D38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COUNTY OF HAYS</w:t>
            </w:r>
          </w:p>
        </w:tc>
        <w:tc>
          <w:tcPr>
            <w:tcW w:w="720" w:type="dxa"/>
            <w:shd w:val="clear" w:color="auto" w:fill="auto"/>
          </w:tcPr>
          <w:p w14:paraId="6CE82E71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224AA40E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2484826E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In Re</w:t>
            </w:r>
          </w:p>
          <w:p w14:paraId="0A8C8B88" w14:textId="77777777" w:rsidR="005A79F7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Grand Jury Proceedings</w:t>
            </w:r>
          </w:p>
          <w:p w14:paraId="4CD1A484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January 2020 Term</w:t>
            </w:r>
          </w:p>
        </w:tc>
      </w:tr>
      <w:tr w:rsidR="005A79F7" w:rsidRPr="007E2F2C" w14:paraId="1245DA77" w14:textId="77777777" w:rsidTr="00C538E9">
        <w:tc>
          <w:tcPr>
            <w:tcW w:w="4320" w:type="dxa"/>
            <w:shd w:val="clear" w:color="auto" w:fill="auto"/>
            <w:vAlign w:val="center"/>
          </w:tcPr>
          <w:p w14:paraId="413D570C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9413C07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06A8BC20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5A79F7" w:rsidRPr="007E2F2C" w14:paraId="28AFA7E6" w14:textId="77777777" w:rsidTr="00C538E9">
        <w:tc>
          <w:tcPr>
            <w:tcW w:w="4320" w:type="dxa"/>
            <w:shd w:val="clear" w:color="auto" w:fill="auto"/>
            <w:vAlign w:val="center"/>
          </w:tcPr>
          <w:p w14:paraId="1CDABB9C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  <w:t>STATE OF TEXAS</w:t>
            </w:r>
          </w:p>
        </w:tc>
        <w:tc>
          <w:tcPr>
            <w:tcW w:w="720" w:type="dxa"/>
            <w:shd w:val="clear" w:color="auto" w:fill="auto"/>
          </w:tcPr>
          <w:p w14:paraId="0E5C01E1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  <w:p w14:paraId="7AC0BCAC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7E2F2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§</w:t>
            </w:r>
          </w:p>
        </w:tc>
        <w:tc>
          <w:tcPr>
            <w:tcW w:w="4320" w:type="dxa"/>
            <w:vMerge/>
            <w:shd w:val="clear" w:color="auto" w:fill="auto"/>
          </w:tcPr>
          <w:p w14:paraId="4F130B91" w14:textId="77777777" w:rsidR="005A79F7" w:rsidRPr="007E2F2C" w:rsidRDefault="005A79F7" w:rsidP="00C53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aps/>
                <w:spacing w:val="-3"/>
                <w:sz w:val="28"/>
                <w:szCs w:val="28"/>
              </w:rPr>
            </w:pPr>
          </w:p>
        </w:tc>
      </w:tr>
    </w:tbl>
    <w:p w14:paraId="75C8DD72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35E455C7" w14:textId="77777777" w:rsidR="005A79F7" w:rsidRPr="00524E5F" w:rsidRDefault="005A79F7" w:rsidP="005A79F7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ORDER Modify</w:t>
      </w:r>
      <w:r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ing</w:t>
      </w:r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 xml:space="preserve"> Article 1</w:t>
      </w:r>
      <w:r w:rsidR="00586755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7</w:t>
      </w:r>
      <w:bookmarkStart w:id="0" w:name="_GoBack"/>
      <w:bookmarkEnd w:id="0"/>
      <w:r w:rsidRPr="00524E5F">
        <w:rPr>
          <w:rFonts w:ascii="Times New Roman" w:eastAsia="Times New Roman" w:hAnsi="Times New Roman"/>
          <w:b/>
          <w:bCs/>
          <w:caps/>
          <w:spacing w:val="-3"/>
          <w:sz w:val="28"/>
          <w:szCs w:val="28"/>
        </w:rPr>
        <w:t>.151 Deadline</w:t>
      </w:r>
    </w:p>
    <w:p w14:paraId="13BB7469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b/>
          <w:spacing w:val="-3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196D8DB4" w14:textId="77777777" w:rsidR="005A79F7" w:rsidRPr="00524E5F" w:rsidRDefault="005A79F7" w:rsidP="005A79F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Pursuant to the authority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 Regarding the COVID-19 State of Disaster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jointly issued by the Texas Supreme Court and the Texas Court of Criminal Appeals on March 13, 2020 (“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”), this Court hereby modifies the statutory 90-day deadline set forth in Texas Code of Criminal Procedure, Article 17.151</w:t>
      </w:r>
      <w:r>
        <w:rPr>
          <w:rFonts w:ascii="Times New Roman" w:eastAsia="Times New Roman" w:hAnsi="Times New Roman"/>
          <w:spacing w:val="-3"/>
          <w:sz w:val="28"/>
          <w:szCs w:val="28"/>
        </w:rPr>
        <w:t>,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as applied in Hays County, Texas,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to the first scheduled grand jury date following the expiration of the </w:t>
      </w:r>
      <w:r w:rsidRPr="00524E5F">
        <w:rPr>
          <w:rFonts w:ascii="Times New Roman" w:eastAsia="Times New Roman" w:hAnsi="Times New Roman"/>
          <w:i/>
          <w:spacing w:val="-3"/>
          <w:sz w:val="28"/>
          <w:szCs w:val="28"/>
        </w:rPr>
        <w:t>First Emergency Order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 xml:space="preserve"> (currently May 20, 2020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, subject to extension if ordered by the Texas Supreme Court and the Texas Court of Criminal Appeals).  Unindicted Hays County, Texas, felony allegations not filed before that date are therefore 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not in violation of Article 17.151, § 1(1)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unless the accused had been in custody for more than 90 days prior to March 13, 2020</w:t>
      </w:r>
      <w:r w:rsidRPr="00524E5F"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14:paraId="1AE1F6A7" w14:textId="77777777" w:rsidR="005A79F7" w:rsidRDefault="005A79F7" w:rsidP="005D0FF3">
      <w:pPr>
        <w:widowControl w:val="0"/>
        <w:suppressAutoHyphens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524E5F">
        <w:rPr>
          <w:rFonts w:ascii="Times New Roman" w:eastAsia="Times New Roman" w:hAnsi="Times New Roman"/>
          <w:spacing w:val="-3"/>
          <w:sz w:val="28"/>
          <w:szCs w:val="28"/>
        </w:rPr>
        <w:t>Signed this _____ of ______________________________, 2020.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"/>
        <w:gridCol w:w="4680"/>
      </w:tblGrid>
      <w:tr w:rsidR="005A79F7" w14:paraId="6F1ED964" w14:textId="77777777" w:rsidTr="005D0FF3">
        <w:trPr>
          <w:trHeight w:val="43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9C02A59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The Hon. Gary Steel</w:t>
            </w:r>
          </w:p>
          <w:p w14:paraId="0C2595B1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Judge. 274th Judicial District</w:t>
            </w:r>
          </w:p>
          <w:p w14:paraId="18EC565C" w14:textId="77777777" w:rsidR="005A79F7" w:rsidRDefault="005A79F7" w:rsidP="005D0FF3">
            <w:pPr>
              <w:widowControl w:val="0"/>
              <w:suppressAutoHyphens/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Local Administrative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Judge</w:t>
            </w:r>
          </w:p>
        </w:tc>
        <w:tc>
          <w:tcPr>
            <w:tcW w:w="720" w:type="dxa"/>
          </w:tcPr>
          <w:p w14:paraId="3DB9BD98" w14:textId="77777777" w:rsid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9AB5693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The Hon.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Bill Henry</w:t>
            </w:r>
          </w:p>
          <w:p w14:paraId="5D24FD86" w14:textId="77777777" w:rsidR="005A79F7" w:rsidRDefault="005A79F7" w:rsidP="005D0FF3">
            <w:pPr>
              <w:widowControl w:val="0"/>
              <w:suppressAutoHyphens/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Judge.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428</w:t>
            </w: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th Judicial District</w:t>
            </w:r>
          </w:p>
        </w:tc>
      </w:tr>
      <w:tr w:rsidR="005A79F7" w14:paraId="14B2BF78" w14:textId="77777777" w:rsidTr="005D0FF3">
        <w:trPr>
          <w:trHeight w:val="43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D86B7C2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The Hon.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David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Junkin</w:t>
            </w:r>
            <w:proofErr w:type="spellEnd"/>
          </w:p>
          <w:p w14:paraId="04444CA5" w14:textId="77777777" w:rsidR="005A79F7" w:rsidRPr="005A79F7" w:rsidRDefault="005A79F7" w:rsidP="005D0FF3">
            <w:pPr>
              <w:widowControl w:val="0"/>
              <w:suppressAutoHyphens/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Judge.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453rd</w:t>
            </w: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Judicial District</w:t>
            </w:r>
          </w:p>
        </w:tc>
        <w:tc>
          <w:tcPr>
            <w:tcW w:w="720" w:type="dxa"/>
          </w:tcPr>
          <w:p w14:paraId="4B3D0E23" w14:textId="77777777" w:rsid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0543766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The Hon.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Bruce Boyer</w:t>
            </w:r>
          </w:p>
          <w:p w14:paraId="39DDFFFF" w14:textId="77777777" w:rsidR="005A79F7" w:rsidRPr="005A79F7" w:rsidRDefault="005A79F7" w:rsidP="005D0FF3">
            <w:pPr>
              <w:widowControl w:val="0"/>
              <w:suppressAutoHyphens/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Judge.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22nd</w:t>
            </w: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Judicial District</w:t>
            </w:r>
          </w:p>
        </w:tc>
      </w:tr>
      <w:tr w:rsidR="005A79F7" w14:paraId="72110CD3" w14:textId="77777777" w:rsidTr="005D0FF3">
        <w:trPr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28681AB0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The Hon.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Jack Robison</w:t>
            </w:r>
          </w:p>
          <w:p w14:paraId="3CD49F57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Judge.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207th</w:t>
            </w:r>
            <w:r w:rsidRPr="005A79F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Judicial District</w:t>
            </w:r>
          </w:p>
        </w:tc>
        <w:tc>
          <w:tcPr>
            <w:tcW w:w="720" w:type="dxa"/>
          </w:tcPr>
          <w:p w14:paraId="43F1986F" w14:textId="77777777" w:rsid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671AD46" w14:textId="77777777" w:rsidR="005A79F7" w:rsidRPr="005A79F7" w:rsidRDefault="005A79F7" w:rsidP="005A7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</w:p>
        </w:tc>
      </w:tr>
    </w:tbl>
    <w:p w14:paraId="1325F5EA" w14:textId="77777777" w:rsidR="005A79F7" w:rsidRPr="00524E5F" w:rsidRDefault="005A79F7" w:rsidP="005D0FF3">
      <w:pPr>
        <w:widowControl w:val="0"/>
        <w:suppressAutoHyphens/>
        <w:autoSpaceDE w:val="0"/>
        <w:autoSpaceDN w:val="0"/>
        <w:adjustRightInd w:val="0"/>
        <w:spacing w:after="0" w:line="20" w:lineRule="exact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</w:p>
    <w:sectPr w:rsidR="005A79F7" w:rsidRPr="00524E5F" w:rsidSect="005A79F7">
      <w:footerReference w:type="default" r:id="rId7"/>
      <w:pgSz w:w="12240" w:h="15840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A5BC" w14:textId="77777777" w:rsidR="001B2A16" w:rsidRDefault="001B2A16">
      <w:pPr>
        <w:spacing w:after="0" w:line="240" w:lineRule="auto"/>
      </w:pPr>
      <w:r>
        <w:separator/>
      </w:r>
    </w:p>
    <w:p w14:paraId="488AF616" w14:textId="77777777" w:rsidR="001B2A16" w:rsidRDefault="001B2A16"/>
  </w:endnote>
  <w:endnote w:type="continuationSeparator" w:id="0">
    <w:p w14:paraId="6DA8A3E2" w14:textId="77777777" w:rsidR="001B2A16" w:rsidRDefault="001B2A16">
      <w:pPr>
        <w:spacing w:after="0" w:line="240" w:lineRule="auto"/>
      </w:pPr>
      <w:r>
        <w:continuationSeparator/>
      </w:r>
    </w:p>
    <w:p w14:paraId="79A40471" w14:textId="77777777" w:rsidR="001B2A16" w:rsidRDefault="001B2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8B88" w14:textId="77777777" w:rsidR="00B71581" w:rsidRPr="00004FEF" w:rsidRDefault="00B71581" w:rsidP="00B71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AC4E8" w14:textId="77777777" w:rsidR="001B2A16" w:rsidRDefault="001B2A16">
      <w:pPr>
        <w:spacing w:after="0" w:line="240" w:lineRule="auto"/>
      </w:pPr>
      <w:r>
        <w:separator/>
      </w:r>
    </w:p>
    <w:p w14:paraId="7D00F662" w14:textId="77777777" w:rsidR="001B2A16" w:rsidRDefault="001B2A16"/>
  </w:footnote>
  <w:footnote w:type="continuationSeparator" w:id="0">
    <w:p w14:paraId="73DE7D3D" w14:textId="77777777" w:rsidR="001B2A16" w:rsidRDefault="001B2A16">
      <w:pPr>
        <w:spacing w:after="0" w:line="240" w:lineRule="auto"/>
      </w:pPr>
      <w:r>
        <w:continuationSeparator/>
      </w:r>
    </w:p>
    <w:p w14:paraId="39777A1B" w14:textId="77777777" w:rsidR="001B2A16" w:rsidRDefault="001B2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43590"/>
    <w:multiLevelType w:val="hybridMultilevel"/>
    <w:tmpl w:val="0F6C1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2F6D79"/>
    <w:multiLevelType w:val="hybridMultilevel"/>
    <w:tmpl w:val="11AA1C48"/>
    <w:lvl w:ilvl="0" w:tplc="4066E7CA">
      <w:start w:val="1"/>
      <w:numFmt w:val="upperLetter"/>
      <w:pStyle w:val="Heading1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5F"/>
    <w:rsid w:val="000A68D5"/>
    <w:rsid w:val="00187AF1"/>
    <w:rsid w:val="001B2A16"/>
    <w:rsid w:val="001E3852"/>
    <w:rsid w:val="002B3F9C"/>
    <w:rsid w:val="00352B9F"/>
    <w:rsid w:val="00524E5F"/>
    <w:rsid w:val="00564EC8"/>
    <w:rsid w:val="00586755"/>
    <w:rsid w:val="005A79F7"/>
    <w:rsid w:val="005D0FF3"/>
    <w:rsid w:val="007626E6"/>
    <w:rsid w:val="007E2F2C"/>
    <w:rsid w:val="007F0308"/>
    <w:rsid w:val="0090507B"/>
    <w:rsid w:val="00981532"/>
    <w:rsid w:val="00A37EAF"/>
    <w:rsid w:val="00B71581"/>
    <w:rsid w:val="00D27E92"/>
    <w:rsid w:val="00D47303"/>
    <w:rsid w:val="00E51018"/>
    <w:rsid w:val="00F228C8"/>
    <w:rsid w:val="00F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CB12"/>
  <w15:chartTrackingRefBased/>
  <w15:docId w15:val="{9F7E9C17-46E9-4F55-A066-1E12806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E97"/>
    <w:pPr>
      <w:keepNext/>
      <w:widowControl w:val="0"/>
      <w:numPr>
        <w:numId w:val="2"/>
      </w:numPr>
      <w:tabs>
        <w:tab w:val="left" w:pos="720"/>
      </w:tabs>
      <w:suppressAutoHyphens/>
      <w:autoSpaceDE w:val="0"/>
      <w:autoSpaceDN w:val="0"/>
      <w:adjustRightInd w:val="0"/>
      <w:spacing w:before="360" w:after="0" w:line="240" w:lineRule="auto"/>
      <w:ind w:left="720" w:hanging="720"/>
      <w:jc w:val="both"/>
      <w:outlineLvl w:val="0"/>
    </w:pPr>
    <w:rPr>
      <w:rFonts w:ascii="Times New Roman" w:eastAsia="Times New Roman" w:hAnsi="Times New Roman"/>
      <w:b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24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E5F"/>
  </w:style>
  <w:style w:type="paragraph" w:styleId="Header">
    <w:name w:val="header"/>
    <w:basedOn w:val="Normal"/>
    <w:link w:val="HeaderChar"/>
    <w:uiPriority w:val="99"/>
    <w:unhideWhenUsed/>
    <w:rsid w:val="00524E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E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4E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4E5F"/>
    <w:rPr>
      <w:sz w:val="22"/>
      <w:szCs w:val="22"/>
    </w:rPr>
  </w:style>
  <w:style w:type="table" w:styleId="TableGrid">
    <w:name w:val="Table Grid"/>
    <w:basedOn w:val="TableNormal"/>
    <w:uiPriority w:val="39"/>
    <w:rsid w:val="003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507B"/>
    <w:rPr>
      <w:b/>
      <w:bCs/>
    </w:rPr>
  </w:style>
  <w:style w:type="paragraph" w:styleId="Revision">
    <w:name w:val="Revision"/>
    <w:hidden/>
    <w:uiPriority w:val="99"/>
    <w:semiHidden/>
    <w:rsid w:val="009050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0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0E97"/>
    <w:rPr>
      <w:rFonts w:ascii="Times New Roman" w:eastAsia="Times New Roman" w:hAnsi="Times New Roman"/>
      <w:b/>
      <w:spacing w:val="-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Mau</dc:creator>
  <cp:keywords/>
  <dc:description/>
  <cp:lastModifiedBy>Shannon Edmonds</cp:lastModifiedBy>
  <cp:revision>2</cp:revision>
  <cp:lastPrinted>2020-03-25T14:37:00Z</cp:lastPrinted>
  <dcterms:created xsi:type="dcterms:W3CDTF">2020-03-30T17:44:00Z</dcterms:created>
  <dcterms:modified xsi:type="dcterms:W3CDTF">2020-03-30T17:44:00Z</dcterms:modified>
</cp:coreProperties>
</file>