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B1FB6" w14:textId="77777777" w:rsidR="00F37CC7" w:rsidRPr="00E34886" w:rsidRDefault="00D1787B" w:rsidP="00336EAA">
      <w:pPr>
        <w:tabs>
          <w:tab w:val="left" w:pos="720"/>
        </w:tabs>
        <w:snapToGrid w:val="0"/>
        <w:sectPr w:rsidR="00F37CC7" w:rsidRPr="00E34886">
          <w:footerReference w:type="default" r:id="rId8"/>
          <w:headerReference w:type="first" r:id="rId9"/>
          <w:pgSz w:w="12240" w:h="15840" w:code="1"/>
          <w:pgMar w:top="619" w:right="605" w:bottom="360" w:left="605" w:header="720" w:footer="432" w:gutter="0"/>
          <w:paperSrc w:first="7" w:other="7"/>
          <w:cols w:space="720"/>
          <w:titlePg/>
        </w:sectPr>
      </w:pPr>
      <w:r w:rsidRPr="00E34886">
        <w:t xml:space="preserve">  </w:t>
      </w:r>
    </w:p>
    <w:p w14:paraId="4F43E05E" w14:textId="77777777" w:rsidR="00E34886" w:rsidRPr="00E34886" w:rsidRDefault="00E34886" w:rsidP="00336EAA">
      <w:pPr>
        <w:pStyle w:val="Body"/>
        <w:tabs>
          <w:tab w:val="left" w:pos="720"/>
        </w:tabs>
        <w:snapToGrid w:val="0"/>
        <w:spacing w:line="240" w:lineRule="auto"/>
        <w:jc w:val="left"/>
        <w:sectPr w:rsidR="00E34886" w:rsidRPr="00E34886" w:rsidSect="00E34886">
          <w:footerReference w:type="default" r:id="rId10"/>
          <w:type w:val="continuous"/>
          <w:pgSz w:w="12240" w:h="15840"/>
          <w:pgMar w:top="619" w:right="605" w:bottom="360" w:left="605" w:header="720" w:footer="288" w:gutter="0"/>
          <w:cols w:space="720"/>
          <w:titlePg/>
        </w:sectPr>
      </w:pPr>
    </w:p>
    <w:p w14:paraId="7A03584D" w14:textId="4D9A1D4B" w:rsidR="00E34886" w:rsidRPr="00E34886" w:rsidRDefault="00E34886" w:rsidP="00336EAA">
      <w:pPr>
        <w:pStyle w:val="Body"/>
        <w:tabs>
          <w:tab w:val="left" w:pos="720"/>
        </w:tabs>
        <w:snapToGrid w:val="0"/>
        <w:spacing w:line="240" w:lineRule="auto"/>
        <w:ind w:left="-180" w:right="-216"/>
        <w:jc w:val="center"/>
        <w:outlineLvl w:val="0"/>
        <w:rPr>
          <w:sz w:val="40"/>
          <w:szCs w:val="40"/>
        </w:rPr>
      </w:pPr>
      <w:r w:rsidRPr="00E34886">
        <w:rPr>
          <w:sz w:val="40"/>
          <w:szCs w:val="40"/>
        </w:rPr>
        <w:t>SUMMARY: Summit on Investigation and Prosecution of Police Misconduct</w:t>
      </w:r>
    </w:p>
    <w:p w14:paraId="6D5F8039" w14:textId="418B88D5" w:rsidR="00E34886" w:rsidRDefault="00E34886" w:rsidP="00336EAA">
      <w:pPr>
        <w:pStyle w:val="Body"/>
        <w:tabs>
          <w:tab w:val="left" w:pos="720"/>
        </w:tabs>
        <w:snapToGrid w:val="0"/>
        <w:spacing w:line="240" w:lineRule="auto"/>
        <w:jc w:val="center"/>
        <w:rPr>
          <w:szCs w:val="32"/>
        </w:rPr>
      </w:pPr>
      <w:r w:rsidRPr="00E34886">
        <w:rPr>
          <w:szCs w:val="32"/>
        </w:rPr>
        <w:t xml:space="preserve"> November 19–20, 2015</w:t>
      </w:r>
    </w:p>
    <w:p w14:paraId="210D225B" w14:textId="77777777" w:rsidR="008869A6" w:rsidRPr="00E34886" w:rsidRDefault="008869A6" w:rsidP="00336EAA">
      <w:pPr>
        <w:pStyle w:val="Body"/>
        <w:tabs>
          <w:tab w:val="left" w:pos="720"/>
        </w:tabs>
        <w:snapToGrid w:val="0"/>
        <w:spacing w:line="240" w:lineRule="auto"/>
        <w:jc w:val="center"/>
        <w:rPr>
          <w:szCs w:val="32"/>
        </w:rPr>
      </w:pPr>
    </w:p>
    <w:p w14:paraId="03C70D76" w14:textId="3B26C7CD" w:rsidR="00E34886" w:rsidRPr="00E34886" w:rsidRDefault="001239FB" w:rsidP="00336EAA">
      <w:pPr>
        <w:pStyle w:val="Body"/>
        <w:tabs>
          <w:tab w:val="left" w:pos="720"/>
        </w:tabs>
        <w:snapToGrid w:val="0"/>
        <w:spacing w:line="240" w:lineRule="auto"/>
        <w:jc w:val="left"/>
      </w:pPr>
      <w:r>
        <w:pict w14:anchorId="07F773EC">
          <v:rect id="officeArt object" o:spid="_x0000_s1026" alt="" style="width:475.5pt;height:1.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gray" stroked="f">
            <w10:anchorlock/>
          </v:rect>
        </w:pict>
      </w:r>
      <w:r w:rsidR="00E34886" w:rsidRPr="00E34886">
        <w:t xml:space="preserve"> </w:t>
      </w:r>
    </w:p>
    <w:p w14:paraId="5980E0AB" w14:textId="4130D800" w:rsidR="00E34886" w:rsidRPr="00E34886" w:rsidRDefault="00E34886" w:rsidP="00336EAA">
      <w:pPr>
        <w:widowControl w:val="0"/>
        <w:tabs>
          <w:tab w:val="left" w:pos="720"/>
        </w:tabs>
        <w:snapToGrid w:val="0"/>
        <w:rPr>
          <w:b/>
          <w:bCs/>
          <w:i/>
          <w:iCs/>
          <w:color w:val="000000"/>
          <w:sz w:val="32"/>
          <w:szCs w:val="32"/>
          <w:u w:color="000000"/>
        </w:rPr>
      </w:pPr>
      <w:r>
        <w:rPr>
          <w:b/>
          <w:bCs/>
          <w:i/>
          <w:iCs/>
          <w:color w:val="000000"/>
          <w:sz w:val="32"/>
          <w:szCs w:val="32"/>
          <w:u w:color="000000"/>
        </w:rPr>
        <w:t>Introduction</w:t>
      </w:r>
    </w:p>
    <w:p w14:paraId="56670EE3" w14:textId="5B38D1E5" w:rsidR="00E34886" w:rsidRDefault="00E34886" w:rsidP="00336EAA">
      <w:pPr>
        <w:pStyle w:val="Body"/>
        <w:tabs>
          <w:tab w:val="left" w:pos="720"/>
        </w:tabs>
        <w:snapToGrid w:val="0"/>
        <w:spacing w:line="240" w:lineRule="auto"/>
        <w:jc w:val="left"/>
      </w:pPr>
      <w:r>
        <w:t xml:space="preserve">In the wake of </w:t>
      </w:r>
      <w:r w:rsidR="00FF2ADB">
        <w:t xml:space="preserve">increased national attention </w:t>
      </w:r>
      <w:r>
        <w:t xml:space="preserve">on </w:t>
      </w:r>
      <w:r w:rsidR="00C926FD">
        <w:t xml:space="preserve">use of </w:t>
      </w:r>
      <w:r w:rsidR="00FF2ADB">
        <w:t xml:space="preserve">excessive </w:t>
      </w:r>
      <w:r>
        <w:t xml:space="preserve">force </w:t>
      </w:r>
      <w:r w:rsidR="00CC1AFB">
        <w:t xml:space="preserve">allegations </w:t>
      </w:r>
      <w:r w:rsidR="00D45534">
        <w:t xml:space="preserve">following the </w:t>
      </w:r>
      <w:r w:rsidR="00FF2ADB">
        <w:t>deaths of Michael Brown, Jr. (Ferguson, MO) and Sandra Bland (Hempstead, TX) (among others)</w:t>
      </w:r>
      <w:r w:rsidR="00D45534">
        <w:t xml:space="preserve">, </w:t>
      </w:r>
      <w:r>
        <w:t>the Texas District and County Attorneys Association host</w:t>
      </w:r>
      <w:r w:rsidR="003243CA">
        <w:t>ed</w:t>
      </w:r>
      <w:r>
        <w:t xml:space="preserve"> a two-day summit of Texas prosecutors</w:t>
      </w:r>
      <w:r w:rsidR="003243CA">
        <w:t xml:space="preserve"> </w:t>
      </w:r>
      <w:r>
        <w:t xml:space="preserve">experienced in investigating and prosecuting </w:t>
      </w:r>
      <w:r w:rsidR="003243CA">
        <w:t xml:space="preserve">those </w:t>
      </w:r>
      <w:r>
        <w:t xml:space="preserve">cases to discuss </w:t>
      </w:r>
      <w:r w:rsidR="00FF2ADB">
        <w:t xml:space="preserve">their </w:t>
      </w:r>
      <w:r>
        <w:t>practices and challenges.</w:t>
      </w:r>
      <w:r w:rsidR="003243CA">
        <w:t xml:space="preserve"> </w:t>
      </w:r>
      <w:r w:rsidR="00CC1AFB">
        <w:t xml:space="preserve">This is a summary </w:t>
      </w:r>
      <w:r>
        <w:t>reflect</w:t>
      </w:r>
      <w:r w:rsidR="003243CA">
        <w:t>ing</w:t>
      </w:r>
      <w:r>
        <w:t xml:space="preserve"> the discussion</w:t>
      </w:r>
      <w:r w:rsidR="003243CA">
        <w:t>s</w:t>
      </w:r>
      <w:r>
        <w:t xml:space="preserve"> of the group</w:t>
      </w:r>
      <w:r w:rsidR="003243CA">
        <w:t xml:space="preserve"> and suggesting </w:t>
      </w:r>
      <w:r>
        <w:t xml:space="preserve">possible action items for </w:t>
      </w:r>
      <w:r w:rsidR="00CC1AFB">
        <w:t>improving</w:t>
      </w:r>
      <w:r w:rsidR="00FF2ADB">
        <w:t xml:space="preserve"> </w:t>
      </w:r>
      <w:r w:rsidR="003243CA">
        <w:t xml:space="preserve">the ability of prosecutors to </w:t>
      </w:r>
      <w:r w:rsidR="00FC37EB">
        <w:t xml:space="preserve">achieve </w:t>
      </w:r>
      <w:r w:rsidR="003243CA">
        <w:t>justice in these cases</w:t>
      </w:r>
      <w:r>
        <w:t>.</w:t>
      </w:r>
    </w:p>
    <w:p w14:paraId="4FA09701" w14:textId="4C40C69C" w:rsidR="003243CA" w:rsidRDefault="003243CA" w:rsidP="00336EAA">
      <w:pPr>
        <w:pStyle w:val="Body"/>
        <w:tabs>
          <w:tab w:val="left" w:pos="720"/>
        </w:tabs>
        <w:snapToGrid w:val="0"/>
        <w:spacing w:line="240" w:lineRule="auto"/>
        <w:jc w:val="left"/>
      </w:pPr>
    </w:p>
    <w:p w14:paraId="4641D4FB" w14:textId="5347D625" w:rsidR="00D76861" w:rsidRPr="00E34886" w:rsidRDefault="00D76861" w:rsidP="00336EAA">
      <w:pPr>
        <w:widowControl w:val="0"/>
        <w:tabs>
          <w:tab w:val="left" w:pos="720"/>
        </w:tabs>
        <w:snapToGrid w:val="0"/>
        <w:rPr>
          <w:b/>
          <w:bCs/>
          <w:i/>
          <w:iCs/>
          <w:color w:val="000000"/>
          <w:sz w:val="32"/>
          <w:szCs w:val="32"/>
          <w:u w:color="000000"/>
        </w:rPr>
      </w:pPr>
      <w:r>
        <w:rPr>
          <w:b/>
          <w:bCs/>
          <w:i/>
          <w:iCs/>
          <w:color w:val="000000"/>
          <w:sz w:val="32"/>
          <w:szCs w:val="32"/>
          <w:u w:color="000000"/>
        </w:rPr>
        <w:t>Contents</w:t>
      </w:r>
    </w:p>
    <w:p w14:paraId="526170C2" w14:textId="7F2FB2DE" w:rsidR="00D76861" w:rsidRDefault="00D76861" w:rsidP="00336EAA">
      <w:pPr>
        <w:pStyle w:val="Body"/>
        <w:tabs>
          <w:tab w:val="left" w:pos="720"/>
        </w:tabs>
        <w:snapToGrid w:val="0"/>
        <w:spacing w:line="240" w:lineRule="auto"/>
        <w:ind w:firstLine="720"/>
        <w:jc w:val="left"/>
      </w:pPr>
      <w:r>
        <w:t>Overview</w:t>
      </w:r>
    </w:p>
    <w:p w14:paraId="63EDDA2B" w14:textId="3F12B673" w:rsidR="00D76861" w:rsidRDefault="00D76861" w:rsidP="00336EAA">
      <w:pPr>
        <w:pStyle w:val="Body"/>
        <w:tabs>
          <w:tab w:val="left" w:pos="720"/>
        </w:tabs>
        <w:snapToGrid w:val="0"/>
        <w:spacing w:line="240" w:lineRule="auto"/>
        <w:ind w:firstLine="720"/>
        <w:jc w:val="left"/>
      </w:pPr>
      <w:r>
        <w:t>Community Trust and Communication</w:t>
      </w:r>
    </w:p>
    <w:p w14:paraId="7D236D78" w14:textId="22F17585" w:rsidR="00D76861" w:rsidRDefault="00D76861" w:rsidP="00336EAA">
      <w:pPr>
        <w:pStyle w:val="Body"/>
        <w:tabs>
          <w:tab w:val="left" w:pos="720"/>
        </w:tabs>
        <w:snapToGrid w:val="0"/>
        <w:spacing w:line="240" w:lineRule="auto"/>
        <w:ind w:firstLine="720"/>
        <w:jc w:val="left"/>
      </w:pPr>
      <w:r>
        <w:t>The Investigation</w:t>
      </w:r>
    </w:p>
    <w:p w14:paraId="6943E693" w14:textId="77777777" w:rsidR="00A61259" w:rsidRDefault="00A61259" w:rsidP="00336EAA">
      <w:pPr>
        <w:pStyle w:val="Body"/>
        <w:tabs>
          <w:tab w:val="left" w:pos="720"/>
        </w:tabs>
        <w:snapToGrid w:val="0"/>
        <w:spacing w:line="240" w:lineRule="auto"/>
        <w:ind w:firstLine="720"/>
        <w:jc w:val="left"/>
      </w:pPr>
      <w:r>
        <w:t>Use of the Grand Jury</w:t>
      </w:r>
    </w:p>
    <w:p w14:paraId="5EAC32C9" w14:textId="7F911C93" w:rsidR="00A61259" w:rsidRDefault="00A61259" w:rsidP="00336EAA">
      <w:pPr>
        <w:pStyle w:val="Body"/>
        <w:tabs>
          <w:tab w:val="left" w:pos="720"/>
        </w:tabs>
        <w:snapToGrid w:val="0"/>
        <w:spacing w:line="240" w:lineRule="auto"/>
        <w:ind w:firstLine="720"/>
        <w:jc w:val="left"/>
      </w:pPr>
      <w:r>
        <w:t>The Trial</w:t>
      </w:r>
    </w:p>
    <w:p w14:paraId="07D62816" w14:textId="77777777" w:rsidR="007A0B98" w:rsidRDefault="007A0B98" w:rsidP="00336EAA">
      <w:pPr>
        <w:pStyle w:val="Body"/>
        <w:tabs>
          <w:tab w:val="left" w:pos="720"/>
        </w:tabs>
        <w:snapToGrid w:val="0"/>
        <w:spacing w:line="240" w:lineRule="auto"/>
        <w:jc w:val="left"/>
      </w:pPr>
    </w:p>
    <w:p w14:paraId="54F57D7F" w14:textId="76177D22" w:rsidR="00953C0A" w:rsidRPr="00E34886" w:rsidRDefault="00FC37EB" w:rsidP="00336EAA">
      <w:pPr>
        <w:widowControl w:val="0"/>
        <w:tabs>
          <w:tab w:val="left" w:pos="720"/>
        </w:tabs>
        <w:snapToGrid w:val="0"/>
        <w:rPr>
          <w:b/>
          <w:bCs/>
          <w:i/>
          <w:iCs/>
          <w:color w:val="000000"/>
          <w:sz w:val="32"/>
          <w:szCs w:val="32"/>
          <w:u w:color="000000"/>
        </w:rPr>
      </w:pPr>
      <w:r w:rsidRPr="00FC37EB">
        <w:rPr>
          <w:b/>
          <w:bCs/>
          <w:i/>
          <w:iCs/>
          <w:color w:val="000000"/>
          <w:sz w:val="32"/>
          <w:szCs w:val="32"/>
          <w:u w:color="000000"/>
        </w:rPr>
        <w:t>I.</w:t>
      </w:r>
      <w:r>
        <w:rPr>
          <w:b/>
          <w:bCs/>
          <w:i/>
          <w:iCs/>
          <w:color w:val="000000"/>
          <w:sz w:val="32"/>
          <w:szCs w:val="32"/>
          <w:u w:color="000000"/>
        </w:rPr>
        <w:tab/>
      </w:r>
      <w:r w:rsidR="00FF2ADB">
        <w:rPr>
          <w:b/>
          <w:bCs/>
          <w:i/>
          <w:iCs/>
          <w:color w:val="000000"/>
          <w:sz w:val="32"/>
          <w:szCs w:val="32"/>
          <w:u w:color="000000"/>
        </w:rPr>
        <w:t>Overview</w:t>
      </w:r>
    </w:p>
    <w:p w14:paraId="5E287B61" w14:textId="08494F06" w:rsidR="00D45534" w:rsidRDefault="00D45534" w:rsidP="00336EAA">
      <w:pPr>
        <w:pStyle w:val="Body"/>
        <w:tabs>
          <w:tab w:val="left" w:pos="720"/>
        </w:tabs>
        <w:snapToGrid w:val="0"/>
        <w:spacing w:line="240" w:lineRule="auto"/>
        <w:jc w:val="left"/>
      </w:pPr>
      <w:r w:rsidRPr="00D45534">
        <w:t xml:space="preserve">Attendees recognized that three key components of justice are the substantive criminal laws, due process, and public perception. </w:t>
      </w:r>
      <w:r w:rsidR="00FF2ADB">
        <w:t>I</w:t>
      </w:r>
      <w:r w:rsidRPr="00D45534">
        <w:t>t is not enough that an investigation be conducted fairly or that the procedures be properly followed; a case’s resolution must also appear to be just if prosecutors and the criminal justice system are to enjoy public support.</w:t>
      </w:r>
    </w:p>
    <w:p w14:paraId="1D6748A6" w14:textId="25180E3A" w:rsidR="003243CA" w:rsidRDefault="003122D1" w:rsidP="00336EAA">
      <w:pPr>
        <w:pStyle w:val="Body"/>
        <w:tabs>
          <w:tab w:val="left" w:pos="720"/>
        </w:tabs>
        <w:snapToGrid w:val="0"/>
        <w:spacing w:line="240" w:lineRule="auto"/>
        <w:jc w:val="left"/>
      </w:pPr>
      <w:r>
        <w:tab/>
      </w:r>
      <w:r w:rsidR="00FC37EB">
        <w:t xml:space="preserve">After a review of contemporary </w:t>
      </w:r>
      <w:r w:rsidR="00FF2ADB">
        <w:t xml:space="preserve">excessive </w:t>
      </w:r>
      <w:r w:rsidR="00FC37EB">
        <w:t xml:space="preserve">force cases, </w:t>
      </w:r>
      <w:r w:rsidR="004A1FDE">
        <w:t xml:space="preserve">including </w:t>
      </w:r>
      <w:r w:rsidR="004C589A">
        <w:t xml:space="preserve">a detailed case study of a successful investigation, prosecution, and conviction for manslaughter arising from the use of excessive force in Texas, </w:t>
      </w:r>
      <w:r w:rsidR="00FC37EB">
        <w:t xml:space="preserve">participants </w:t>
      </w:r>
      <w:r w:rsidR="00FF2ADB">
        <w:t>observed</w:t>
      </w:r>
      <w:r w:rsidR="00FC37EB">
        <w:t xml:space="preserve"> that </w:t>
      </w:r>
      <w:r w:rsidR="004A1FDE">
        <w:t xml:space="preserve">these </w:t>
      </w:r>
      <w:r w:rsidR="00953C0A">
        <w:t xml:space="preserve">cases differ from </w:t>
      </w:r>
      <w:r w:rsidR="00D45534">
        <w:t xml:space="preserve">other </w:t>
      </w:r>
      <w:r w:rsidR="00953C0A">
        <w:t>criminal investigations and prosecutions for a variety of reasons, including:</w:t>
      </w:r>
    </w:p>
    <w:p w14:paraId="4F689EB9" w14:textId="20DF6DC9" w:rsidR="00953C0A" w:rsidRDefault="00953C0A" w:rsidP="00336EAA">
      <w:pPr>
        <w:numPr>
          <w:ilvl w:val="0"/>
          <w:numId w:val="25"/>
        </w:numPr>
        <w:tabs>
          <w:tab w:val="left" w:pos="720"/>
        </w:tabs>
        <w:snapToGrid w:val="0"/>
      </w:pPr>
      <w:r>
        <w:t xml:space="preserve">Peace officers have </w:t>
      </w:r>
      <w:r w:rsidR="00D45534">
        <w:t xml:space="preserve">a duty </w:t>
      </w:r>
      <w:r>
        <w:t xml:space="preserve">to </w:t>
      </w:r>
      <w:r w:rsidR="00D45534">
        <w:t xml:space="preserve">respond </w:t>
      </w:r>
      <w:r>
        <w:t>to crime that other citizens do not</w:t>
      </w:r>
    </w:p>
    <w:p w14:paraId="667F09A4" w14:textId="6ABF5611" w:rsidR="00953C0A" w:rsidRDefault="00D76861" w:rsidP="00336EAA">
      <w:pPr>
        <w:numPr>
          <w:ilvl w:val="0"/>
          <w:numId w:val="25"/>
        </w:numPr>
        <w:tabs>
          <w:tab w:val="left" w:pos="720"/>
        </w:tabs>
        <w:snapToGrid w:val="0"/>
      </w:pPr>
      <w:r>
        <w:t xml:space="preserve">Peace officers have a </w:t>
      </w:r>
      <w:r w:rsidR="009254F2">
        <w:t xml:space="preserve">right to rely on </w:t>
      </w:r>
      <w:r w:rsidR="00FF2ADB">
        <w:t>standard</w:t>
      </w:r>
      <w:r w:rsidR="009254F2">
        <w:t xml:space="preserve"> legal principles such as self-defense</w:t>
      </w:r>
    </w:p>
    <w:p w14:paraId="1D50E364" w14:textId="13B98FF2" w:rsidR="009254F2" w:rsidRPr="009254F2" w:rsidRDefault="009254F2" w:rsidP="00336EAA">
      <w:pPr>
        <w:numPr>
          <w:ilvl w:val="0"/>
          <w:numId w:val="25"/>
        </w:numPr>
        <w:tabs>
          <w:tab w:val="left" w:pos="720"/>
        </w:tabs>
        <w:snapToGrid w:val="0"/>
        <w:rPr>
          <w:bCs/>
        </w:rPr>
      </w:pPr>
      <w:r>
        <w:t xml:space="preserve">Peace officers </w:t>
      </w:r>
      <w:r w:rsidR="004606BF">
        <w:t xml:space="preserve">may </w:t>
      </w:r>
      <w:r>
        <w:t>have unique privileges when being investigated (</w:t>
      </w:r>
      <w:r>
        <w:rPr>
          <w:bCs/>
        </w:rPr>
        <w:t>such as “cool down” periods before questioning or the right to review scene videos before giving a statement)</w:t>
      </w:r>
    </w:p>
    <w:p w14:paraId="5B4D1565" w14:textId="77777777" w:rsidR="00D76861" w:rsidRDefault="00D76861" w:rsidP="00336EAA">
      <w:pPr>
        <w:numPr>
          <w:ilvl w:val="0"/>
          <w:numId w:val="25"/>
        </w:numPr>
        <w:tabs>
          <w:tab w:val="left" w:pos="720"/>
        </w:tabs>
        <w:snapToGrid w:val="0"/>
      </w:pPr>
      <w:r>
        <w:t>Peace officers have specialized training and experience in the use of force and their adherence to those standards often involves a “battle of the experts” at trial</w:t>
      </w:r>
    </w:p>
    <w:p w14:paraId="3088C79F" w14:textId="203D7A4E" w:rsidR="00953C0A" w:rsidRDefault="00953C0A" w:rsidP="00336EAA">
      <w:pPr>
        <w:numPr>
          <w:ilvl w:val="0"/>
          <w:numId w:val="25"/>
        </w:numPr>
        <w:tabs>
          <w:tab w:val="left" w:pos="720"/>
        </w:tabs>
        <w:snapToGrid w:val="0"/>
      </w:pPr>
      <w:r>
        <w:t xml:space="preserve">Peace officers work for local communities whose members sit on </w:t>
      </w:r>
      <w:r w:rsidR="00FF2ADB">
        <w:t xml:space="preserve">their </w:t>
      </w:r>
      <w:r>
        <w:t>juries</w:t>
      </w:r>
      <w:r w:rsidR="00FF2ADB">
        <w:t xml:space="preserve"> and may be inclined to give officers the benefit of any doubts about intent or malice</w:t>
      </w:r>
    </w:p>
    <w:p w14:paraId="0ACE45DD" w14:textId="69657240" w:rsidR="00953C0A" w:rsidRDefault="00953C0A" w:rsidP="00336EAA">
      <w:pPr>
        <w:numPr>
          <w:ilvl w:val="0"/>
          <w:numId w:val="25"/>
        </w:numPr>
        <w:tabs>
          <w:tab w:val="left" w:pos="720"/>
        </w:tabs>
        <w:snapToGrid w:val="0"/>
      </w:pPr>
      <w:r>
        <w:lastRenderedPageBreak/>
        <w:t>Prosecutors and peace officers often have a pre-existing relationship</w:t>
      </w:r>
      <w:r w:rsidR="004606BF">
        <w:t xml:space="preserve"> that can complicate the investigation of an officer</w:t>
      </w:r>
    </w:p>
    <w:p w14:paraId="6719FDDA" w14:textId="3074E964" w:rsidR="00D45534" w:rsidRDefault="00D45534" w:rsidP="00336EAA">
      <w:pPr>
        <w:numPr>
          <w:ilvl w:val="0"/>
          <w:numId w:val="25"/>
        </w:numPr>
        <w:tabs>
          <w:tab w:val="left" w:pos="720"/>
        </w:tabs>
        <w:snapToGrid w:val="0"/>
      </w:pPr>
      <w:r>
        <w:t>T</w:t>
      </w:r>
      <w:r w:rsidRPr="00D45534">
        <w:t xml:space="preserve">he 24/7 news </w:t>
      </w:r>
      <w:r>
        <w:t xml:space="preserve">cycle </w:t>
      </w:r>
      <w:r w:rsidRPr="00D45534">
        <w:t xml:space="preserve">and social media </w:t>
      </w:r>
      <w:r>
        <w:t>give</w:t>
      </w:r>
      <w:r w:rsidRPr="00D45534">
        <w:t xml:space="preserve"> the public greater access to information </w:t>
      </w:r>
      <w:r w:rsidR="004606BF">
        <w:t xml:space="preserve">and videos </w:t>
      </w:r>
      <w:r w:rsidRPr="00D45534">
        <w:t xml:space="preserve">about these cases, </w:t>
      </w:r>
      <w:r>
        <w:t xml:space="preserve">but </w:t>
      </w:r>
      <w:r w:rsidRPr="00D45534">
        <w:t xml:space="preserve">the information </w:t>
      </w:r>
      <w:r w:rsidR="004606BF">
        <w:t>is still frequently in</w:t>
      </w:r>
      <w:r w:rsidRPr="00D45534">
        <w:t xml:space="preserve">accurate or </w:t>
      </w:r>
      <w:r w:rsidR="004606BF">
        <w:t>in</w:t>
      </w:r>
      <w:r w:rsidRPr="00D45534">
        <w:t>complete</w:t>
      </w:r>
      <w:r w:rsidR="004606BF">
        <w:t>, and prosecutors may be legally or ethically prohibited from correcting those misconceptions publicly</w:t>
      </w:r>
    </w:p>
    <w:p w14:paraId="69D6F7EE" w14:textId="54C182BD" w:rsidR="00D45534" w:rsidRDefault="00D45534" w:rsidP="00336EAA">
      <w:pPr>
        <w:numPr>
          <w:ilvl w:val="0"/>
          <w:numId w:val="25"/>
        </w:numPr>
        <w:tabs>
          <w:tab w:val="left" w:pos="720"/>
        </w:tabs>
        <w:snapToGrid w:val="0"/>
      </w:pPr>
      <w:r>
        <w:t>Disparate results in high-publicity cases can create public confusion, especially when grand jury proceedings are secret</w:t>
      </w:r>
    </w:p>
    <w:p w14:paraId="1431D37A" w14:textId="568AA8CA" w:rsidR="00FC37EB" w:rsidRDefault="00FC37EB" w:rsidP="00336EAA">
      <w:pPr>
        <w:tabs>
          <w:tab w:val="left" w:pos="720"/>
        </w:tabs>
        <w:snapToGrid w:val="0"/>
      </w:pPr>
    </w:p>
    <w:p w14:paraId="207A3370" w14:textId="72AC117A" w:rsidR="00FC37EB" w:rsidRDefault="00FC37EB" w:rsidP="00336EAA">
      <w:pPr>
        <w:tabs>
          <w:tab w:val="left" w:pos="720"/>
        </w:tabs>
        <w:snapToGrid w:val="0"/>
      </w:pPr>
      <w:r>
        <w:t xml:space="preserve">These and other factors may explain why there are few indictments—and even fewer convictions—in use-of-force cases. They also tend to be the focus of legislative proposals seeking to </w:t>
      </w:r>
      <w:r w:rsidR="00D45534">
        <w:t>reduce use-of-force incidents and increase</w:t>
      </w:r>
      <w:r>
        <w:t xml:space="preserve"> successful prosecutions</w:t>
      </w:r>
      <w:r w:rsidR="004606BF">
        <w:t>, but not always in ways that are evidence-based or which properly address these challenges</w:t>
      </w:r>
      <w:r>
        <w:t>.</w:t>
      </w:r>
    </w:p>
    <w:p w14:paraId="4522651B" w14:textId="77777777" w:rsidR="00E028D5" w:rsidRDefault="00E028D5" w:rsidP="00336EAA">
      <w:pPr>
        <w:pStyle w:val="Body"/>
        <w:tabs>
          <w:tab w:val="left" w:pos="720"/>
        </w:tabs>
        <w:snapToGrid w:val="0"/>
        <w:spacing w:line="240" w:lineRule="auto"/>
        <w:jc w:val="left"/>
      </w:pPr>
    </w:p>
    <w:p w14:paraId="538D9573" w14:textId="5380D881" w:rsidR="00E028D5" w:rsidRPr="00E34886" w:rsidRDefault="00E028D5" w:rsidP="00336EAA">
      <w:pPr>
        <w:widowControl w:val="0"/>
        <w:tabs>
          <w:tab w:val="left" w:pos="720"/>
        </w:tabs>
        <w:snapToGrid w:val="0"/>
        <w:rPr>
          <w:b/>
          <w:bCs/>
          <w:i/>
          <w:iCs/>
          <w:color w:val="000000"/>
          <w:sz w:val="32"/>
          <w:szCs w:val="32"/>
          <w:u w:color="000000"/>
        </w:rPr>
      </w:pPr>
      <w:r w:rsidRPr="00FC37EB">
        <w:rPr>
          <w:b/>
          <w:bCs/>
          <w:i/>
          <w:iCs/>
          <w:color w:val="000000"/>
          <w:sz w:val="32"/>
          <w:szCs w:val="32"/>
          <w:u w:color="000000"/>
        </w:rPr>
        <w:t>I</w:t>
      </w:r>
      <w:r>
        <w:rPr>
          <w:b/>
          <w:bCs/>
          <w:i/>
          <w:iCs/>
          <w:color w:val="000000"/>
          <w:sz w:val="32"/>
          <w:szCs w:val="32"/>
          <w:u w:color="000000"/>
        </w:rPr>
        <w:t>I</w:t>
      </w:r>
      <w:r w:rsidRPr="00FC37EB">
        <w:rPr>
          <w:b/>
          <w:bCs/>
          <w:i/>
          <w:iCs/>
          <w:color w:val="000000"/>
          <w:sz w:val="32"/>
          <w:szCs w:val="32"/>
          <w:u w:color="000000"/>
        </w:rPr>
        <w:t>.</w:t>
      </w:r>
      <w:r>
        <w:rPr>
          <w:b/>
          <w:bCs/>
          <w:i/>
          <w:iCs/>
          <w:color w:val="000000"/>
          <w:sz w:val="32"/>
          <w:szCs w:val="32"/>
          <w:u w:color="000000"/>
        </w:rPr>
        <w:tab/>
        <w:t xml:space="preserve">Community </w:t>
      </w:r>
      <w:r w:rsidR="00FF2ADB">
        <w:rPr>
          <w:b/>
          <w:bCs/>
          <w:i/>
          <w:iCs/>
          <w:color w:val="000000"/>
          <w:sz w:val="32"/>
          <w:szCs w:val="32"/>
          <w:u w:color="000000"/>
        </w:rPr>
        <w:t>T</w:t>
      </w:r>
      <w:r>
        <w:rPr>
          <w:b/>
          <w:bCs/>
          <w:i/>
          <w:iCs/>
          <w:color w:val="000000"/>
          <w:sz w:val="32"/>
          <w:szCs w:val="32"/>
          <w:u w:color="000000"/>
        </w:rPr>
        <w:t>rust</w:t>
      </w:r>
      <w:r w:rsidR="00A866CC">
        <w:rPr>
          <w:b/>
          <w:bCs/>
          <w:i/>
          <w:iCs/>
          <w:color w:val="000000"/>
          <w:sz w:val="32"/>
          <w:szCs w:val="32"/>
          <w:u w:color="000000"/>
        </w:rPr>
        <w:t xml:space="preserve"> and </w:t>
      </w:r>
      <w:r w:rsidR="00FF2ADB">
        <w:rPr>
          <w:b/>
          <w:bCs/>
          <w:i/>
          <w:iCs/>
          <w:color w:val="000000"/>
          <w:sz w:val="32"/>
          <w:szCs w:val="32"/>
          <w:u w:color="000000"/>
        </w:rPr>
        <w:t>C</w:t>
      </w:r>
      <w:r w:rsidR="00A866CC">
        <w:rPr>
          <w:b/>
          <w:bCs/>
          <w:i/>
          <w:iCs/>
          <w:color w:val="000000"/>
          <w:sz w:val="32"/>
          <w:szCs w:val="32"/>
          <w:u w:color="000000"/>
        </w:rPr>
        <w:t>ommunication</w:t>
      </w:r>
    </w:p>
    <w:p w14:paraId="57500467" w14:textId="3B20FD99" w:rsidR="00A9130E" w:rsidRDefault="00BB63FF" w:rsidP="00336EAA">
      <w:pPr>
        <w:tabs>
          <w:tab w:val="left" w:pos="720"/>
        </w:tabs>
        <w:snapToGrid w:val="0"/>
        <w:rPr>
          <w:szCs w:val="24"/>
        </w:rPr>
      </w:pPr>
      <w:r>
        <w:t xml:space="preserve">Attendees discussed ways to effectively </w:t>
      </w:r>
      <w:r w:rsidRPr="00BB63FF">
        <w:rPr>
          <w:szCs w:val="24"/>
        </w:rPr>
        <w:t>engag</w:t>
      </w:r>
      <w:r>
        <w:rPr>
          <w:szCs w:val="24"/>
        </w:rPr>
        <w:t>e</w:t>
      </w:r>
      <w:r w:rsidRPr="00BB63FF">
        <w:rPr>
          <w:szCs w:val="24"/>
        </w:rPr>
        <w:t xml:space="preserve"> </w:t>
      </w:r>
      <w:r>
        <w:rPr>
          <w:szCs w:val="24"/>
        </w:rPr>
        <w:t xml:space="preserve">with </w:t>
      </w:r>
      <w:r w:rsidRPr="00BB63FF">
        <w:rPr>
          <w:szCs w:val="24"/>
        </w:rPr>
        <w:t xml:space="preserve">the community </w:t>
      </w:r>
      <w:r w:rsidR="004606BF">
        <w:rPr>
          <w:szCs w:val="24"/>
        </w:rPr>
        <w:t xml:space="preserve">prior to and </w:t>
      </w:r>
      <w:r>
        <w:rPr>
          <w:szCs w:val="24"/>
        </w:rPr>
        <w:t xml:space="preserve">during a </w:t>
      </w:r>
      <w:r w:rsidRPr="00BB63FF">
        <w:rPr>
          <w:szCs w:val="24"/>
        </w:rPr>
        <w:t>“major media event”</w:t>
      </w:r>
      <w:r>
        <w:rPr>
          <w:szCs w:val="24"/>
        </w:rPr>
        <w:t xml:space="preserve"> in which social media may drive public opinion and debate as much as traditional mainstream media. This work begins with </w:t>
      </w:r>
      <w:r w:rsidRPr="00BB63FF">
        <w:rPr>
          <w:szCs w:val="24"/>
        </w:rPr>
        <w:t xml:space="preserve">building community </w:t>
      </w:r>
      <w:bookmarkStart w:id="0" w:name="_Hlk42858433"/>
      <w:r w:rsidRPr="00BB63FF">
        <w:rPr>
          <w:szCs w:val="24"/>
        </w:rPr>
        <w:t xml:space="preserve">relationships </w:t>
      </w:r>
      <w:r w:rsidR="00A9130E" w:rsidRPr="007451C2">
        <w:rPr>
          <w:i/>
          <w:iCs/>
          <w:szCs w:val="24"/>
        </w:rPr>
        <w:t>before</w:t>
      </w:r>
      <w:r w:rsidR="00A9130E" w:rsidRPr="00E34886">
        <w:rPr>
          <w:szCs w:val="24"/>
        </w:rPr>
        <w:t xml:space="preserve"> a crisis</w:t>
      </w:r>
      <w:r w:rsidR="00A866CC">
        <w:rPr>
          <w:szCs w:val="24"/>
        </w:rPr>
        <w:t xml:space="preserve"> occurs. Ways to achieve that include</w:t>
      </w:r>
      <w:r w:rsidR="00A9130E" w:rsidRPr="00E34886">
        <w:rPr>
          <w:szCs w:val="24"/>
        </w:rPr>
        <w:t>:</w:t>
      </w:r>
    </w:p>
    <w:p w14:paraId="3760B035" w14:textId="3DD66288" w:rsidR="00A866CC" w:rsidRDefault="00A866CC" w:rsidP="00336EAA">
      <w:pPr>
        <w:numPr>
          <w:ilvl w:val="0"/>
          <w:numId w:val="25"/>
        </w:numPr>
        <w:tabs>
          <w:tab w:val="left" w:pos="720"/>
        </w:tabs>
        <w:snapToGrid w:val="0"/>
      </w:pPr>
      <w:r>
        <w:t>Know</w:t>
      </w:r>
      <w:r w:rsidR="004606BF">
        <w:t>ing</w:t>
      </w:r>
      <w:r>
        <w:t xml:space="preserve"> your community and mak</w:t>
      </w:r>
      <w:r w:rsidR="004606BF">
        <w:t>ing</w:t>
      </w:r>
      <w:r>
        <w:t xml:space="preserve"> sure your community knows (and trusts) you</w:t>
      </w:r>
      <w:r w:rsidR="004606BF">
        <w:t>, perhaps</w:t>
      </w:r>
      <w:r>
        <w:t xml:space="preserve"> </w:t>
      </w:r>
      <w:bookmarkEnd w:id="0"/>
      <w:r>
        <w:t xml:space="preserve">through </w:t>
      </w:r>
      <w:r w:rsidR="004606BF">
        <w:t xml:space="preserve">a </w:t>
      </w:r>
      <w:r>
        <w:t xml:space="preserve">social media presence </w:t>
      </w:r>
      <w:r w:rsidR="004606BF">
        <w:t xml:space="preserve">or through involvement </w:t>
      </w:r>
      <w:r>
        <w:t>in community-based work (charities, etc.)</w:t>
      </w:r>
    </w:p>
    <w:p w14:paraId="18F5ED41" w14:textId="34541DD1" w:rsidR="00A866CC" w:rsidRDefault="00A866CC" w:rsidP="00336EAA">
      <w:pPr>
        <w:numPr>
          <w:ilvl w:val="0"/>
          <w:numId w:val="25"/>
        </w:numPr>
        <w:tabs>
          <w:tab w:val="left" w:pos="720"/>
        </w:tabs>
        <w:snapToGrid w:val="0"/>
      </w:pPr>
      <w:r>
        <w:t>Consider</w:t>
      </w:r>
      <w:r w:rsidR="004606BF">
        <w:t>ing</w:t>
      </w:r>
      <w:r>
        <w:t xml:space="preserve"> a community outreach program that educates the public on what prosecutors do and how they do it</w:t>
      </w:r>
    </w:p>
    <w:p w14:paraId="3EC9E071" w14:textId="551A9921" w:rsidR="004606BF" w:rsidRDefault="004606BF" w:rsidP="00336EAA">
      <w:pPr>
        <w:numPr>
          <w:ilvl w:val="0"/>
          <w:numId w:val="25"/>
        </w:numPr>
        <w:tabs>
          <w:tab w:val="left" w:pos="720"/>
        </w:tabs>
        <w:snapToGrid w:val="0"/>
      </w:pPr>
      <w:r>
        <w:t>Ensuring you and your staff are aware of ethical limitations on sharing information (such as TDRPC 3.07 and 3.09)</w:t>
      </w:r>
    </w:p>
    <w:p w14:paraId="3A393B0F" w14:textId="307B7535" w:rsidR="00A866CC" w:rsidRDefault="00A866CC" w:rsidP="00336EAA">
      <w:pPr>
        <w:numPr>
          <w:ilvl w:val="0"/>
          <w:numId w:val="25"/>
        </w:numPr>
        <w:tabs>
          <w:tab w:val="left" w:pos="720"/>
        </w:tabs>
        <w:snapToGrid w:val="0"/>
      </w:pPr>
      <w:r>
        <w:t>Establish</w:t>
      </w:r>
      <w:r w:rsidR="004606BF">
        <w:t>ing</w:t>
      </w:r>
      <w:r>
        <w:t xml:space="preserve"> </w:t>
      </w:r>
      <w:r w:rsidR="007451C2">
        <w:t xml:space="preserve">good </w:t>
      </w:r>
      <w:r>
        <w:t xml:space="preserve">relationships with local </w:t>
      </w:r>
      <w:r w:rsidR="004606BF">
        <w:t xml:space="preserve">news </w:t>
      </w:r>
      <w:r>
        <w:t xml:space="preserve">media through open communication </w:t>
      </w:r>
      <w:r w:rsidR="007451C2">
        <w:t xml:space="preserve">and </w:t>
      </w:r>
      <w:r>
        <w:t>honest interactions</w:t>
      </w:r>
      <w:r w:rsidR="007451C2">
        <w:t xml:space="preserve">, including candid explanations when </w:t>
      </w:r>
      <w:r w:rsidR="004606BF">
        <w:t xml:space="preserve">something cannot </w:t>
      </w:r>
      <w:r w:rsidR="007451C2">
        <w:t xml:space="preserve">legally or ethically </w:t>
      </w:r>
      <w:r w:rsidR="004606BF">
        <w:t xml:space="preserve">be </w:t>
      </w:r>
      <w:r w:rsidR="007451C2">
        <w:t>share</w:t>
      </w:r>
      <w:r w:rsidR="004606BF">
        <w:t>d</w:t>
      </w:r>
    </w:p>
    <w:p w14:paraId="7235123F" w14:textId="687DC507" w:rsidR="007451C2" w:rsidRDefault="007451C2" w:rsidP="00336EAA">
      <w:pPr>
        <w:numPr>
          <w:ilvl w:val="0"/>
          <w:numId w:val="25"/>
        </w:numPr>
        <w:tabs>
          <w:tab w:val="left" w:pos="720"/>
        </w:tabs>
        <w:snapToGrid w:val="0"/>
      </w:pPr>
      <w:r>
        <w:t>Establish</w:t>
      </w:r>
      <w:r w:rsidR="004606BF">
        <w:t xml:space="preserve">ing </w:t>
      </w:r>
      <w:r>
        <w:t>good relationships with local, state, and federal elected officials who may want access to information during an investigation</w:t>
      </w:r>
    </w:p>
    <w:p w14:paraId="17250E55" w14:textId="07869F09" w:rsidR="007451C2" w:rsidRDefault="007451C2" w:rsidP="00336EAA">
      <w:pPr>
        <w:numPr>
          <w:ilvl w:val="0"/>
          <w:numId w:val="25"/>
        </w:numPr>
        <w:tabs>
          <w:tab w:val="left" w:pos="720"/>
        </w:tabs>
        <w:snapToGrid w:val="0"/>
      </w:pPr>
      <w:r>
        <w:t>In larger offices, pre-designat</w:t>
      </w:r>
      <w:r w:rsidR="004606BF">
        <w:t>ing</w:t>
      </w:r>
      <w:r>
        <w:t xml:space="preserve"> staff members to handle PIA requests, media inquiries</w:t>
      </w:r>
      <w:r w:rsidR="00657A2B">
        <w:t xml:space="preserve"> (</w:t>
      </w:r>
      <w:r w:rsidR="004606BF">
        <w:t>including f</w:t>
      </w:r>
      <w:r w:rsidR="00657A2B">
        <w:t>rom national news outlets)</w:t>
      </w:r>
      <w:r>
        <w:t xml:space="preserve">, social media, IT security, office security, </w:t>
      </w:r>
      <w:r w:rsidR="004606BF">
        <w:t>and personal security</w:t>
      </w:r>
    </w:p>
    <w:p w14:paraId="68345B23" w14:textId="45A4D7F3" w:rsidR="00A9130E" w:rsidRDefault="00A9130E" w:rsidP="00336EAA">
      <w:pPr>
        <w:tabs>
          <w:tab w:val="left" w:pos="720"/>
        </w:tabs>
        <w:snapToGrid w:val="0"/>
        <w:rPr>
          <w:szCs w:val="24"/>
        </w:rPr>
      </w:pPr>
    </w:p>
    <w:p w14:paraId="22C95506" w14:textId="1924FFE6" w:rsidR="00657A2B" w:rsidRPr="00E34886" w:rsidRDefault="00657A2B" w:rsidP="00336EAA">
      <w:pPr>
        <w:widowControl w:val="0"/>
        <w:tabs>
          <w:tab w:val="left" w:pos="720"/>
        </w:tabs>
        <w:snapToGrid w:val="0"/>
        <w:rPr>
          <w:b/>
          <w:bCs/>
          <w:i/>
          <w:iCs/>
          <w:color w:val="000000"/>
          <w:sz w:val="32"/>
          <w:szCs w:val="32"/>
          <w:u w:color="000000"/>
        </w:rPr>
      </w:pPr>
      <w:r w:rsidRPr="00FC37EB">
        <w:rPr>
          <w:b/>
          <w:bCs/>
          <w:i/>
          <w:iCs/>
          <w:color w:val="000000"/>
          <w:sz w:val="32"/>
          <w:szCs w:val="32"/>
          <w:u w:color="000000"/>
        </w:rPr>
        <w:t>I</w:t>
      </w:r>
      <w:r>
        <w:rPr>
          <w:b/>
          <w:bCs/>
          <w:i/>
          <w:iCs/>
          <w:color w:val="000000"/>
          <w:sz w:val="32"/>
          <w:szCs w:val="32"/>
          <w:u w:color="000000"/>
        </w:rPr>
        <w:t>II</w:t>
      </w:r>
      <w:r w:rsidRPr="00FC37EB">
        <w:rPr>
          <w:b/>
          <w:bCs/>
          <w:i/>
          <w:iCs/>
          <w:color w:val="000000"/>
          <w:sz w:val="32"/>
          <w:szCs w:val="32"/>
          <w:u w:color="000000"/>
        </w:rPr>
        <w:t>.</w:t>
      </w:r>
      <w:r>
        <w:rPr>
          <w:b/>
          <w:bCs/>
          <w:i/>
          <w:iCs/>
          <w:color w:val="000000"/>
          <w:sz w:val="32"/>
          <w:szCs w:val="32"/>
          <w:u w:color="000000"/>
        </w:rPr>
        <w:tab/>
      </w:r>
      <w:r w:rsidR="00E1374E">
        <w:rPr>
          <w:b/>
          <w:bCs/>
          <w:i/>
          <w:iCs/>
          <w:color w:val="000000"/>
          <w:sz w:val="32"/>
          <w:szCs w:val="32"/>
          <w:u w:color="000000"/>
        </w:rPr>
        <w:t xml:space="preserve">The </w:t>
      </w:r>
      <w:r w:rsidR="00FF2ADB">
        <w:rPr>
          <w:b/>
          <w:bCs/>
          <w:i/>
          <w:iCs/>
          <w:color w:val="000000"/>
          <w:sz w:val="32"/>
          <w:szCs w:val="32"/>
          <w:u w:color="000000"/>
        </w:rPr>
        <w:t>I</w:t>
      </w:r>
      <w:r>
        <w:rPr>
          <w:b/>
          <w:bCs/>
          <w:i/>
          <w:iCs/>
          <w:color w:val="000000"/>
          <w:sz w:val="32"/>
          <w:szCs w:val="32"/>
          <w:u w:color="000000"/>
        </w:rPr>
        <w:t>nvestigation</w:t>
      </w:r>
    </w:p>
    <w:p w14:paraId="526CB3E6" w14:textId="7D4356B4" w:rsidR="006106DC" w:rsidRDefault="006106DC" w:rsidP="00336EAA">
      <w:pPr>
        <w:tabs>
          <w:tab w:val="left" w:pos="720"/>
        </w:tabs>
        <w:snapToGrid w:val="0"/>
      </w:pPr>
      <w:r>
        <w:t xml:space="preserve">Summit participants recognized that an elected prosecutor is not necessarily </w:t>
      </w:r>
      <w:r w:rsidR="001E61E9">
        <w:t>able</w:t>
      </w:r>
      <w:r>
        <w:t xml:space="preserve"> to control the direction of an initial law enforcement investigation</w:t>
      </w:r>
      <w:r w:rsidR="00F93A52">
        <w:t xml:space="preserve"> into a use-of-force incident</w:t>
      </w:r>
      <w:r>
        <w:t>.</w:t>
      </w:r>
      <w:r w:rsidR="00F93A52">
        <w:t xml:space="preserve"> To complicate matters, there are often multiple focuses of </w:t>
      </w:r>
      <w:r w:rsidR="00625497">
        <w:t xml:space="preserve">those </w:t>
      </w:r>
      <w:r w:rsidR="00F93A52">
        <w:t>investigation</w:t>
      </w:r>
      <w:r w:rsidR="00625497">
        <w:t>s</w:t>
      </w:r>
      <w:r w:rsidR="00F93A52">
        <w:t xml:space="preserve">, including: the conduct of </w:t>
      </w:r>
      <w:r w:rsidR="004606BF">
        <w:t xml:space="preserve">various </w:t>
      </w:r>
      <w:r w:rsidR="00F93A52">
        <w:t>actors leading up to the incident; the officer’s conduct in relation to departmental policy; and the officer’s conduct in relation to the criminal law</w:t>
      </w:r>
      <w:r w:rsidR="004606BF">
        <w:t>s</w:t>
      </w:r>
      <w:r w:rsidR="00F93A52">
        <w:t xml:space="preserve">. This can result in multiple agencies being involved to varying degrees. </w:t>
      </w:r>
      <w:r>
        <w:t>To facilitate good rapport with those agencies ahead of time, prosecutors may consider:</w:t>
      </w:r>
    </w:p>
    <w:p w14:paraId="2F3E6E80" w14:textId="1353C910" w:rsidR="006106DC" w:rsidRDefault="006106DC" w:rsidP="00336EAA">
      <w:pPr>
        <w:numPr>
          <w:ilvl w:val="0"/>
          <w:numId w:val="25"/>
        </w:numPr>
        <w:tabs>
          <w:tab w:val="left" w:pos="720"/>
        </w:tabs>
        <w:snapToGrid w:val="0"/>
      </w:pPr>
      <w:r>
        <w:t>Creating regular opportunities—individually or as a group—for communication with the law enforcement agencies in your jurisdiction</w:t>
      </w:r>
    </w:p>
    <w:p w14:paraId="49A56C4C" w14:textId="21D74630" w:rsidR="006106DC" w:rsidRDefault="006106DC" w:rsidP="00336EAA">
      <w:pPr>
        <w:numPr>
          <w:ilvl w:val="0"/>
          <w:numId w:val="25"/>
        </w:numPr>
        <w:tabs>
          <w:tab w:val="left" w:pos="720"/>
        </w:tabs>
        <w:snapToGrid w:val="0"/>
      </w:pPr>
      <w:r>
        <w:t>Creating standing multi-disciplinary work groups for these types of cases</w:t>
      </w:r>
    </w:p>
    <w:p w14:paraId="17EDC5AA" w14:textId="0E8D4AAE" w:rsidR="006106DC" w:rsidRDefault="006106DC" w:rsidP="00336EAA">
      <w:pPr>
        <w:numPr>
          <w:ilvl w:val="0"/>
          <w:numId w:val="25"/>
        </w:numPr>
        <w:tabs>
          <w:tab w:val="left" w:pos="720"/>
        </w:tabs>
        <w:snapToGrid w:val="0"/>
      </w:pPr>
      <w:r>
        <w:t xml:space="preserve">In larger offices, assigning office liaisons </w:t>
      </w:r>
      <w:r w:rsidR="004606BF">
        <w:t>to</w:t>
      </w:r>
      <w:r>
        <w:t xml:space="preserve"> various law enforcement agencies or specific departments within those agencies</w:t>
      </w:r>
    </w:p>
    <w:p w14:paraId="2CF20BCD" w14:textId="22363747" w:rsidR="006106DC" w:rsidRDefault="006106DC" w:rsidP="00336EAA">
      <w:pPr>
        <w:numPr>
          <w:ilvl w:val="0"/>
          <w:numId w:val="25"/>
        </w:numPr>
        <w:tabs>
          <w:tab w:val="left" w:pos="720"/>
        </w:tabs>
        <w:snapToGrid w:val="0"/>
      </w:pPr>
      <w:r>
        <w:t>Agreeing with your local agencies when and how you will be notified about an officer-involved incident</w:t>
      </w:r>
    </w:p>
    <w:p w14:paraId="14F37197" w14:textId="25B03F4F" w:rsidR="006106DC" w:rsidRDefault="006106DC" w:rsidP="00336EAA">
      <w:pPr>
        <w:numPr>
          <w:ilvl w:val="0"/>
          <w:numId w:val="25"/>
        </w:numPr>
        <w:tabs>
          <w:tab w:val="left" w:pos="720"/>
        </w:tabs>
        <w:snapToGrid w:val="0"/>
      </w:pPr>
      <w:r>
        <w:lastRenderedPageBreak/>
        <w:t xml:space="preserve">Determining which agency will </w:t>
      </w:r>
      <w:r w:rsidR="00F93A52">
        <w:t xml:space="preserve">criminally </w:t>
      </w:r>
      <w:r>
        <w:t xml:space="preserve">investigate </w:t>
      </w:r>
      <w:r w:rsidR="00F93A52">
        <w:t xml:space="preserve">an </w:t>
      </w:r>
      <w:r>
        <w:t>incident</w:t>
      </w:r>
      <w:r w:rsidR="00F93A52">
        <w:t xml:space="preserve"> involving a specific agency</w:t>
      </w:r>
      <w:r w:rsidR="007F79F0">
        <w:t xml:space="preserve"> and utilizing MOUs when appropriate</w:t>
      </w:r>
    </w:p>
    <w:p w14:paraId="7579703E" w14:textId="02763F6B" w:rsidR="00625497" w:rsidRDefault="00625497" w:rsidP="00336EAA">
      <w:pPr>
        <w:numPr>
          <w:ilvl w:val="0"/>
          <w:numId w:val="25"/>
        </w:numPr>
        <w:tabs>
          <w:tab w:val="left" w:pos="720"/>
        </w:tabs>
        <w:snapToGrid w:val="0"/>
      </w:pPr>
      <w:r>
        <w:t xml:space="preserve">Creating a special unit or division of prosecutors </w:t>
      </w:r>
      <w:r w:rsidR="004606BF">
        <w:t xml:space="preserve">who have or will develop the expertise needed </w:t>
      </w:r>
      <w:r>
        <w:t xml:space="preserve">to </w:t>
      </w:r>
      <w:r w:rsidR="00723186">
        <w:t xml:space="preserve">best </w:t>
      </w:r>
      <w:r>
        <w:t>handle these cases</w:t>
      </w:r>
    </w:p>
    <w:p w14:paraId="266F4853" w14:textId="0CF217EB" w:rsidR="00F93A52" w:rsidRDefault="00F93A52" w:rsidP="00336EAA">
      <w:pPr>
        <w:numPr>
          <w:ilvl w:val="0"/>
          <w:numId w:val="25"/>
        </w:numPr>
        <w:tabs>
          <w:tab w:val="left" w:pos="720"/>
        </w:tabs>
        <w:snapToGrid w:val="0"/>
      </w:pPr>
      <w:r>
        <w:t xml:space="preserve">Establishing </w:t>
      </w:r>
      <w:r w:rsidR="00723186">
        <w:t xml:space="preserve">guidelines </w:t>
      </w:r>
      <w:r>
        <w:t>for whether or when a prosecutor will go to the scene of an incident and what role that prosecutor will play</w:t>
      </w:r>
      <w:r w:rsidR="00723186">
        <w:t>, if any</w:t>
      </w:r>
    </w:p>
    <w:p w14:paraId="2F0DC1BF" w14:textId="3CD18252" w:rsidR="00F93A52" w:rsidRDefault="00F93A52" w:rsidP="00336EAA">
      <w:pPr>
        <w:numPr>
          <w:ilvl w:val="0"/>
          <w:numId w:val="25"/>
        </w:numPr>
        <w:tabs>
          <w:tab w:val="left" w:pos="720"/>
        </w:tabs>
        <w:snapToGrid w:val="0"/>
      </w:pPr>
      <w:r>
        <w:t xml:space="preserve">Establishing </w:t>
      </w:r>
      <w:r w:rsidR="00723186">
        <w:t xml:space="preserve">guidelines </w:t>
      </w:r>
      <w:r>
        <w:t xml:space="preserve">for deciding when the prosecutor </w:t>
      </w:r>
      <w:r w:rsidR="004C589A">
        <w:t xml:space="preserve">should </w:t>
      </w:r>
      <w:r>
        <w:t xml:space="preserve">recuse </w:t>
      </w:r>
      <w:r w:rsidR="004C589A">
        <w:t>his office</w:t>
      </w:r>
      <w:r w:rsidR="00723186">
        <w:t xml:space="preserve"> from an investigation or prosecution</w:t>
      </w:r>
    </w:p>
    <w:p w14:paraId="27F618DF" w14:textId="409D31FB" w:rsidR="00F93A52" w:rsidRDefault="00F93A52" w:rsidP="00336EAA">
      <w:pPr>
        <w:numPr>
          <w:ilvl w:val="0"/>
          <w:numId w:val="25"/>
        </w:numPr>
        <w:tabs>
          <w:tab w:val="left" w:pos="720"/>
        </w:tabs>
        <w:snapToGrid w:val="0"/>
      </w:pPr>
      <w:r>
        <w:t xml:space="preserve">Establishing </w:t>
      </w:r>
      <w:r w:rsidR="00723186">
        <w:t xml:space="preserve">guidelines </w:t>
      </w:r>
      <w:r>
        <w:t>for the release of information (including videos) by the investigating agencies and the prosecutor’s office</w:t>
      </w:r>
    </w:p>
    <w:p w14:paraId="4494AA80" w14:textId="5A012E0E" w:rsidR="00F93A52" w:rsidRDefault="00F93A52" w:rsidP="00336EAA">
      <w:pPr>
        <w:numPr>
          <w:ilvl w:val="0"/>
          <w:numId w:val="25"/>
        </w:numPr>
        <w:tabs>
          <w:tab w:val="left" w:pos="720"/>
        </w:tabs>
        <w:snapToGrid w:val="0"/>
      </w:pPr>
      <w:r>
        <w:t xml:space="preserve">Establishing </w:t>
      </w:r>
      <w:r w:rsidR="007F79F0">
        <w:t xml:space="preserve">media </w:t>
      </w:r>
      <w:r w:rsidR="00723186">
        <w:t xml:space="preserve">guidelines </w:t>
      </w:r>
      <w:r>
        <w:t>for handling the conclusion of a case regardless of outcome</w:t>
      </w:r>
    </w:p>
    <w:p w14:paraId="4B3816B3" w14:textId="77777777" w:rsidR="00E1374E" w:rsidRDefault="00E1374E" w:rsidP="00336EAA">
      <w:pPr>
        <w:tabs>
          <w:tab w:val="left" w:pos="720"/>
        </w:tabs>
        <w:snapToGrid w:val="0"/>
      </w:pPr>
    </w:p>
    <w:p w14:paraId="0702705D" w14:textId="48B52BA9" w:rsidR="00A9130E" w:rsidRDefault="008E7D54" w:rsidP="00336EAA">
      <w:pPr>
        <w:tabs>
          <w:tab w:val="left" w:pos="720"/>
        </w:tabs>
        <w:snapToGrid w:val="0"/>
      </w:pPr>
      <w:r>
        <w:t xml:space="preserve">Participants </w:t>
      </w:r>
      <w:r w:rsidR="00E1374E">
        <w:t xml:space="preserve">also </w:t>
      </w:r>
      <w:r>
        <w:t>discussed key aspects of a thorough, objective investigation into excessive force allegations, including:</w:t>
      </w:r>
    </w:p>
    <w:p w14:paraId="01CB151A" w14:textId="7A354A10" w:rsidR="008E7D54" w:rsidRDefault="008E7D54" w:rsidP="00336EAA">
      <w:pPr>
        <w:numPr>
          <w:ilvl w:val="0"/>
          <w:numId w:val="28"/>
        </w:numPr>
        <w:tabs>
          <w:tab w:val="left" w:pos="720"/>
        </w:tabs>
        <w:snapToGrid w:val="0"/>
        <w:rPr>
          <w:bCs/>
        </w:rPr>
      </w:pPr>
      <w:r>
        <w:rPr>
          <w:bCs/>
        </w:rPr>
        <w:t xml:space="preserve">Ensuring </w:t>
      </w:r>
      <w:r w:rsidR="00723186">
        <w:rPr>
          <w:bCs/>
        </w:rPr>
        <w:t xml:space="preserve">that no </w:t>
      </w:r>
      <w:r>
        <w:rPr>
          <w:bCs/>
        </w:rPr>
        <w:t xml:space="preserve">grand jurors have </w:t>
      </w:r>
      <w:r w:rsidR="00723186">
        <w:rPr>
          <w:bCs/>
        </w:rPr>
        <w:t xml:space="preserve">a </w:t>
      </w:r>
      <w:r>
        <w:rPr>
          <w:bCs/>
        </w:rPr>
        <w:t>conflict of interest</w:t>
      </w:r>
    </w:p>
    <w:p w14:paraId="1FC0B216" w14:textId="46690C94" w:rsidR="008E7D54" w:rsidRDefault="008E7D54" w:rsidP="00336EAA">
      <w:pPr>
        <w:numPr>
          <w:ilvl w:val="0"/>
          <w:numId w:val="28"/>
        </w:numPr>
        <w:tabs>
          <w:tab w:val="left" w:pos="720"/>
        </w:tabs>
        <w:snapToGrid w:val="0"/>
        <w:rPr>
          <w:bCs/>
        </w:rPr>
      </w:pPr>
      <w:r>
        <w:rPr>
          <w:bCs/>
        </w:rPr>
        <w:t xml:space="preserve">Understanding the potential types of witness statements from officers (walk-throughs, formal statements, </w:t>
      </w:r>
      <w:r w:rsidRPr="008E7D54">
        <w:rPr>
          <w:bCs/>
          <w:i/>
          <w:iCs/>
        </w:rPr>
        <w:t>Garrity</w:t>
      </w:r>
      <w:r>
        <w:rPr>
          <w:bCs/>
        </w:rPr>
        <w:t>/administrative statements, public safety statements) and how they differ</w:t>
      </w:r>
    </w:p>
    <w:p w14:paraId="0ED1199C" w14:textId="10A67622" w:rsidR="008E7D54" w:rsidRDefault="008E7D54" w:rsidP="00336EAA">
      <w:pPr>
        <w:numPr>
          <w:ilvl w:val="0"/>
          <w:numId w:val="28"/>
        </w:numPr>
        <w:tabs>
          <w:tab w:val="left" w:pos="720"/>
        </w:tabs>
        <w:snapToGrid w:val="0"/>
        <w:rPr>
          <w:bCs/>
        </w:rPr>
      </w:pPr>
      <w:r>
        <w:rPr>
          <w:bCs/>
        </w:rPr>
        <w:t xml:space="preserve">Understanding how to find and obtain the video </w:t>
      </w:r>
      <w:r w:rsidR="00723186">
        <w:rPr>
          <w:bCs/>
        </w:rPr>
        <w:t xml:space="preserve">footage </w:t>
      </w:r>
      <w:r>
        <w:rPr>
          <w:bCs/>
        </w:rPr>
        <w:t>(body-worn, dash, surveillance/security, citizen-generated) that may exist</w:t>
      </w:r>
    </w:p>
    <w:p w14:paraId="5A2A288D" w14:textId="3C7E89E3" w:rsidR="008E7D54" w:rsidRDefault="008E7D54" w:rsidP="00336EAA">
      <w:pPr>
        <w:numPr>
          <w:ilvl w:val="0"/>
          <w:numId w:val="28"/>
        </w:numPr>
        <w:tabs>
          <w:tab w:val="left" w:pos="720"/>
        </w:tabs>
        <w:snapToGrid w:val="0"/>
        <w:rPr>
          <w:bCs/>
        </w:rPr>
      </w:pPr>
      <w:r>
        <w:rPr>
          <w:bCs/>
        </w:rPr>
        <w:t>Accounting for the challenges created by officers’ unique privileges in some jurisdictions (</w:t>
      </w:r>
      <w:r w:rsidR="009254F2">
        <w:rPr>
          <w:bCs/>
        </w:rPr>
        <w:t xml:space="preserve">such as “cool down” periods or their ability to </w:t>
      </w:r>
      <w:r>
        <w:rPr>
          <w:bCs/>
        </w:rPr>
        <w:t>review scene videos before giving a statement</w:t>
      </w:r>
      <w:r w:rsidR="009254F2">
        <w:rPr>
          <w:bCs/>
        </w:rPr>
        <w:t>)</w:t>
      </w:r>
    </w:p>
    <w:p w14:paraId="08427C8F" w14:textId="467BE01A" w:rsidR="008E7D54" w:rsidRDefault="008E7D54" w:rsidP="00336EAA">
      <w:pPr>
        <w:numPr>
          <w:ilvl w:val="0"/>
          <w:numId w:val="28"/>
        </w:numPr>
        <w:tabs>
          <w:tab w:val="left" w:pos="720"/>
        </w:tabs>
        <w:snapToGrid w:val="0"/>
        <w:rPr>
          <w:bCs/>
        </w:rPr>
      </w:pPr>
      <w:r>
        <w:rPr>
          <w:bCs/>
        </w:rPr>
        <w:t>Familiarity with officer training and departmental policies</w:t>
      </w:r>
      <w:r w:rsidR="00723186">
        <w:rPr>
          <w:bCs/>
        </w:rPr>
        <w:t xml:space="preserve"> on use of force</w:t>
      </w:r>
    </w:p>
    <w:p w14:paraId="452E59CE" w14:textId="77777777" w:rsidR="00A61259" w:rsidRDefault="00A61259" w:rsidP="00336EAA">
      <w:pPr>
        <w:pStyle w:val="Body"/>
        <w:tabs>
          <w:tab w:val="left" w:pos="720"/>
        </w:tabs>
        <w:snapToGrid w:val="0"/>
        <w:spacing w:line="240" w:lineRule="auto"/>
        <w:jc w:val="left"/>
      </w:pPr>
    </w:p>
    <w:p w14:paraId="1E3815C5" w14:textId="6958CFD4" w:rsidR="00A61259" w:rsidRPr="00E34886" w:rsidRDefault="00E1374E" w:rsidP="00336EAA">
      <w:pPr>
        <w:widowControl w:val="0"/>
        <w:tabs>
          <w:tab w:val="left" w:pos="720"/>
        </w:tabs>
        <w:snapToGrid w:val="0"/>
        <w:rPr>
          <w:b/>
          <w:bCs/>
          <w:i/>
          <w:iCs/>
          <w:color w:val="000000"/>
          <w:sz w:val="32"/>
          <w:szCs w:val="32"/>
          <w:u w:color="000000"/>
        </w:rPr>
      </w:pPr>
      <w:r>
        <w:rPr>
          <w:b/>
          <w:bCs/>
          <w:i/>
          <w:iCs/>
          <w:color w:val="000000"/>
          <w:sz w:val="32"/>
          <w:szCs w:val="32"/>
          <w:u w:color="000000"/>
        </w:rPr>
        <w:t>I</w:t>
      </w:r>
      <w:r w:rsidR="00A61259">
        <w:rPr>
          <w:b/>
          <w:bCs/>
          <w:i/>
          <w:iCs/>
          <w:color w:val="000000"/>
          <w:sz w:val="32"/>
          <w:szCs w:val="32"/>
          <w:u w:color="000000"/>
        </w:rPr>
        <w:t>V</w:t>
      </w:r>
      <w:r w:rsidR="00A61259" w:rsidRPr="00FC37EB">
        <w:rPr>
          <w:b/>
          <w:bCs/>
          <w:i/>
          <w:iCs/>
          <w:color w:val="000000"/>
          <w:sz w:val="32"/>
          <w:szCs w:val="32"/>
          <w:u w:color="000000"/>
        </w:rPr>
        <w:t>.</w:t>
      </w:r>
      <w:r w:rsidR="00A61259">
        <w:rPr>
          <w:b/>
          <w:bCs/>
          <w:i/>
          <w:iCs/>
          <w:color w:val="000000"/>
          <w:sz w:val="32"/>
          <w:szCs w:val="32"/>
          <w:u w:color="000000"/>
        </w:rPr>
        <w:tab/>
        <w:t>Use of the Grand Jury</w:t>
      </w:r>
    </w:p>
    <w:p w14:paraId="7601FC06" w14:textId="6B69750A" w:rsidR="00A61259" w:rsidRDefault="00A61259" w:rsidP="00336EAA">
      <w:pPr>
        <w:tabs>
          <w:tab w:val="left" w:pos="720"/>
        </w:tabs>
        <w:snapToGrid w:val="0"/>
      </w:pPr>
      <w:r>
        <w:t xml:space="preserve">Discussions of when and how to use the investigative powers of a grand jury were the most varied of the entire summit. </w:t>
      </w:r>
      <w:r w:rsidR="00503192">
        <w:t xml:space="preserve">After discussing the policies of various </w:t>
      </w:r>
      <w:r w:rsidR="00083766">
        <w:t>prosecutors</w:t>
      </w:r>
      <w:r w:rsidR="00503192">
        <w:t>—urban, suburban, and rural—around the state, participants recognized this topic as perhaps the most difficult area in which to identify commonly successful practices. Among the topics discussed were:</w:t>
      </w:r>
    </w:p>
    <w:p w14:paraId="0BF07517" w14:textId="46833C1D" w:rsidR="00503192" w:rsidRDefault="00503192" w:rsidP="00336EAA">
      <w:pPr>
        <w:numPr>
          <w:ilvl w:val="0"/>
          <w:numId w:val="29"/>
        </w:numPr>
        <w:tabs>
          <w:tab w:val="left" w:pos="720"/>
        </w:tabs>
        <w:snapToGrid w:val="0"/>
        <w:rPr>
          <w:bCs/>
        </w:rPr>
      </w:pPr>
      <w:r>
        <w:rPr>
          <w:bCs/>
        </w:rPr>
        <w:t xml:space="preserve">The appropriateness of presenting every officer-involved use-of-force incident and in-custody death to a grand jury </w:t>
      </w:r>
      <w:r w:rsidR="00E1374E">
        <w:rPr>
          <w:bCs/>
        </w:rPr>
        <w:t xml:space="preserve">versus </w:t>
      </w:r>
      <w:r>
        <w:rPr>
          <w:bCs/>
        </w:rPr>
        <w:t xml:space="preserve">the general practice of </w:t>
      </w:r>
      <w:r w:rsidR="00254DB6">
        <w:rPr>
          <w:bCs/>
        </w:rPr>
        <w:t>using prosecutorial discretion to more quickly decide what to present for consideration by a grand jury; and if choosing the latter, where an office should draw the line on which cases should and should not be presented to a grand jury</w:t>
      </w:r>
    </w:p>
    <w:p w14:paraId="42F7A61A" w14:textId="25D74ECA" w:rsidR="00503192" w:rsidRDefault="00254DB6" w:rsidP="00336EAA">
      <w:pPr>
        <w:numPr>
          <w:ilvl w:val="0"/>
          <w:numId w:val="29"/>
        </w:numPr>
        <w:tabs>
          <w:tab w:val="left" w:pos="720"/>
        </w:tabs>
        <w:snapToGrid w:val="0"/>
        <w:rPr>
          <w:bCs/>
        </w:rPr>
      </w:pPr>
      <w:r>
        <w:rPr>
          <w:bCs/>
        </w:rPr>
        <w:t xml:space="preserve">The pros and cons of putting grand jurors through the shoot/don’t shoot virtual training that some law enforcement agencies use to educate their officers about </w:t>
      </w:r>
      <w:r w:rsidRPr="00E34886">
        <w:t>self-defense and defense of third perso</w:t>
      </w:r>
      <w:r>
        <w:t>ns</w:t>
      </w:r>
      <w:r w:rsidR="00E1374E">
        <w:t xml:space="preserve"> laws</w:t>
      </w:r>
    </w:p>
    <w:p w14:paraId="56FD0154" w14:textId="47716836" w:rsidR="00254DB6" w:rsidRDefault="00CB5708" w:rsidP="00336EAA">
      <w:pPr>
        <w:numPr>
          <w:ilvl w:val="0"/>
          <w:numId w:val="29"/>
        </w:numPr>
        <w:tabs>
          <w:tab w:val="left" w:pos="720"/>
        </w:tabs>
        <w:snapToGrid w:val="0"/>
        <w:rPr>
          <w:bCs/>
        </w:rPr>
      </w:pPr>
      <w:r>
        <w:rPr>
          <w:bCs/>
        </w:rPr>
        <w:t>Whether the prosecutor should make a recommendation to the grand jury</w:t>
      </w:r>
    </w:p>
    <w:p w14:paraId="53B1A5CF" w14:textId="74F2D783" w:rsidR="00CB5708" w:rsidRDefault="00CB5708" w:rsidP="00336EAA">
      <w:pPr>
        <w:numPr>
          <w:ilvl w:val="0"/>
          <w:numId w:val="29"/>
        </w:numPr>
        <w:tabs>
          <w:tab w:val="left" w:pos="720"/>
        </w:tabs>
        <w:snapToGrid w:val="0"/>
        <w:rPr>
          <w:bCs/>
        </w:rPr>
      </w:pPr>
      <w:r>
        <w:rPr>
          <w:bCs/>
        </w:rPr>
        <w:t xml:space="preserve">How prosecutors should handle cases </w:t>
      </w:r>
      <w:r w:rsidR="003122D1">
        <w:rPr>
          <w:bCs/>
        </w:rPr>
        <w:t>whe</w:t>
      </w:r>
      <w:r w:rsidR="00336EAA">
        <w:rPr>
          <w:bCs/>
        </w:rPr>
        <w:t>n</w:t>
      </w:r>
      <w:r>
        <w:rPr>
          <w:bCs/>
        </w:rPr>
        <w:t xml:space="preserve"> they disagree with the grand jury’s decision</w:t>
      </w:r>
    </w:p>
    <w:p w14:paraId="20F927AD" w14:textId="66F2B6B6" w:rsidR="00CB5708" w:rsidRDefault="00E1374E" w:rsidP="00336EAA">
      <w:pPr>
        <w:numPr>
          <w:ilvl w:val="0"/>
          <w:numId w:val="29"/>
        </w:numPr>
        <w:tabs>
          <w:tab w:val="left" w:pos="720"/>
        </w:tabs>
        <w:snapToGrid w:val="0"/>
        <w:rPr>
          <w:bCs/>
        </w:rPr>
      </w:pPr>
      <w:r>
        <w:rPr>
          <w:bCs/>
        </w:rPr>
        <w:t xml:space="preserve">The process after a no-bill, including what information can be released to the public, how any release should be done, and </w:t>
      </w:r>
      <w:r w:rsidR="00083766">
        <w:rPr>
          <w:bCs/>
        </w:rPr>
        <w:t xml:space="preserve">how </w:t>
      </w:r>
      <w:r>
        <w:rPr>
          <w:bCs/>
        </w:rPr>
        <w:t xml:space="preserve">to explain the results to </w:t>
      </w:r>
      <w:r w:rsidR="00083766">
        <w:rPr>
          <w:bCs/>
        </w:rPr>
        <w:t xml:space="preserve">the </w:t>
      </w:r>
      <w:r>
        <w:rPr>
          <w:bCs/>
        </w:rPr>
        <w:t>complainant or the family members of a person killed by the use of force</w:t>
      </w:r>
    </w:p>
    <w:p w14:paraId="32765C52" w14:textId="77777777" w:rsidR="00A61259" w:rsidRPr="00A61259" w:rsidRDefault="00A61259" w:rsidP="00336EAA">
      <w:pPr>
        <w:tabs>
          <w:tab w:val="left" w:pos="720"/>
        </w:tabs>
        <w:snapToGrid w:val="0"/>
      </w:pPr>
    </w:p>
    <w:p w14:paraId="1981FF87" w14:textId="5C72E17B" w:rsidR="00A61259" w:rsidRPr="00E34886" w:rsidRDefault="00A61259" w:rsidP="00336EAA">
      <w:pPr>
        <w:widowControl w:val="0"/>
        <w:tabs>
          <w:tab w:val="left" w:pos="720"/>
        </w:tabs>
        <w:snapToGrid w:val="0"/>
        <w:rPr>
          <w:b/>
          <w:bCs/>
          <w:i/>
          <w:iCs/>
          <w:color w:val="000000"/>
          <w:sz w:val="32"/>
          <w:szCs w:val="32"/>
          <w:u w:color="000000"/>
        </w:rPr>
      </w:pPr>
      <w:r>
        <w:rPr>
          <w:b/>
          <w:bCs/>
          <w:i/>
          <w:iCs/>
          <w:color w:val="000000"/>
          <w:sz w:val="32"/>
          <w:szCs w:val="32"/>
          <w:u w:color="000000"/>
        </w:rPr>
        <w:t>V</w:t>
      </w:r>
      <w:r w:rsidRPr="00FC37EB">
        <w:rPr>
          <w:b/>
          <w:bCs/>
          <w:i/>
          <w:iCs/>
          <w:color w:val="000000"/>
          <w:sz w:val="32"/>
          <w:szCs w:val="32"/>
          <w:u w:color="000000"/>
        </w:rPr>
        <w:t>.</w:t>
      </w:r>
      <w:r>
        <w:rPr>
          <w:b/>
          <w:bCs/>
          <w:i/>
          <w:iCs/>
          <w:color w:val="000000"/>
          <w:sz w:val="32"/>
          <w:szCs w:val="32"/>
          <w:u w:color="000000"/>
        </w:rPr>
        <w:tab/>
      </w:r>
      <w:r w:rsidR="003122D1">
        <w:rPr>
          <w:b/>
          <w:bCs/>
          <w:i/>
          <w:iCs/>
          <w:color w:val="000000"/>
          <w:sz w:val="32"/>
          <w:szCs w:val="32"/>
          <w:u w:color="000000"/>
        </w:rPr>
        <w:t xml:space="preserve">The </w:t>
      </w:r>
      <w:r w:rsidR="00E1374E">
        <w:rPr>
          <w:b/>
          <w:bCs/>
          <w:i/>
          <w:iCs/>
          <w:color w:val="000000"/>
          <w:sz w:val="32"/>
          <w:szCs w:val="32"/>
          <w:u w:color="000000"/>
        </w:rPr>
        <w:t>Trial</w:t>
      </w:r>
    </w:p>
    <w:p w14:paraId="338A9104" w14:textId="77777777" w:rsidR="00002AB4" w:rsidRDefault="00002AB4" w:rsidP="00336EAA">
      <w:pPr>
        <w:tabs>
          <w:tab w:val="left" w:pos="720"/>
        </w:tabs>
        <w:snapToGrid w:val="0"/>
      </w:pPr>
      <w:r>
        <w:t>There are several unusual aspects to peace officer use-of-force cases that manifest themselves at trial.</w:t>
      </w:r>
    </w:p>
    <w:p w14:paraId="6A06AEA5" w14:textId="1F9E2DEC" w:rsidR="00002AB4" w:rsidRDefault="003122D1" w:rsidP="00336EAA">
      <w:pPr>
        <w:tabs>
          <w:tab w:val="left" w:pos="720"/>
        </w:tabs>
        <w:snapToGrid w:val="0"/>
      </w:pPr>
      <w:r>
        <w:lastRenderedPageBreak/>
        <w:tab/>
      </w:r>
      <w:r w:rsidR="00354C2B">
        <w:t xml:space="preserve">Due to the defendant being a peace officer, excessive force </w:t>
      </w:r>
      <w:r w:rsidR="00002AB4">
        <w:t xml:space="preserve">trials may </w:t>
      </w:r>
      <w:r w:rsidR="00354C2B">
        <w:t>require prosecutors to employ more criminal</w:t>
      </w:r>
      <w:r w:rsidR="00002AB4">
        <w:t>-</w:t>
      </w:r>
      <w:r w:rsidR="00354C2B">
        <w:t xml:space="preserve">defense-oriented approaches to jury selection, witness examination, establishing </w:t>
      </w:r>
      <w:r w:rsidR="0096717F">
        <w:t xml:space="preserve">a </w:t>
      </w:r>
      <w:r w:rsidR="00354C2B">
        <w:t>theme of the State’s case</w:t>
      </w:r>
      <w:r w:rsidR="00002AB4">
        <w:t>, and jury arguments</w:t>
      </w:r>
      <w:r w:rsidR="00354C2B">
        <w:t xml:space="preserve">. </w:t>
      </w:r>
    </w:p>
    <w:p w14:paraId="1D66D519" w14:textId="12547F31" w:rsidR="00002AB4" w:rsidRDefault="003122D1" w:rsidP="00336EAA">
      <w:pPr>
        <w:tabs>
          <w:tab w:val="left" w:pos="720"/>
        </w:tabs>
        <w:snapToGrid w:val="0"/>
      </w:pPr>
      <w:r>
        <w:tab/>
      </w:r>
      <w:r w:rsidR="00002AB4">
        <w:t xml:space="preserve">Use-of-force training and standards are often a key aspect of a trial and can become the subject of dueling expert witnesses put forth by both sides, which can be confusing for a jury. To limit the chances of a jury being misled, prosecutors should consider: </w:t>
      </w:r>
    </w:p>
    <w:p w14:paraId="6F320747" w14:textId="77777777" w:rsidR="00002AB4" w:rsidRDefault="00002AB4" w:rsidP="00336EAA">
      <w:pPr>
        <w:numPr>
          <w:ilvl w:val="0"/>
          <w:numId w:val="28"/>
        </w:numPr>
        <w:tabs>
          <w:tab w:val="left" w:pos="720"/>
        </w:tabs>
        <w:snapToGrid w:val="0"/>
        <w:rPr>
          <w:bCs/>
        </w:rPr>
      </w:pPr>
      <w:r>
        <w:rPr>
          <w:bCs/>
        </w:rPr>
        <w:t>Familiarizing themselves with different use-of-force models and standards</w:t>
      </w:r>
    </w:p>
    <w:p w14:paraId="0D09DBCE" w14:textId="0EE0CC97" w:rsidR="00002AB4" w:rsidRDefault="00002AB4" w:rsidP="00336EAA">
      <w:pPr>
        <w:numPr>
          <w:ilvl w:val="0"/>
          <w:numId w:val="28"/>
        </w:numPr>
        <w:tabs>
          <w:tab w:val="left" w:pos="720"/>
        </w:tabs>
        <w:snapToGrid w:val="0"/>
        <w:rPr>
          <w:bCs/>
        </w:rPr>
      </w:pPr>
      <w:r>
        <w:rPr>
          <w:bCs/>
        </w:rPr>
        <w:t>Employing incident reconstruction techniques for the jury’s benefit</w:t>
      </w:r>
    </w:p>
    <w:p w14:paraId="4E421865" w14:textId="77777777" w:rsidR="00002AB4" w:rsidRDefault="00002AB4" w:rsidP="00336EAA">
      <w:pPr>
        <w:numPr>
          <w:ilvl w:val="0"/>
          <w:numId w:val="28"/>
        </w:numPr>
        <w:tabs>
          <w:tab w:val="left" w:pos="720"/>
        </w:tabs>
        <w:snapToGrid w:val="0"/>
        <w:rPr>
          <w:bCs/>
        </w:rPr>
      </w:pPr>
      <w:r>
        <w:rPr>
          <w:bCs/>
        </w:rPr>
        <w:t>Researching defense experts’ past testimony in other hearings</w:t>
      </w:r>
    </w:p>
    <w:p w14:paraId="58AEBB1F" w14:textId="77777777" w:rsidR="00002AB4" w:rsidRDefault="00002AB4" w:rsidP="00336EAA">
      <w:pPr>
        <w:numPr>
          <w:ilvl w:val="0"/>
          <w:numId w:val="28"/>
        </w:numPr>
        <w:tabs>
          <w:tab w:val="left" w:pos="720"/>
        </w:tabs>
        <w:snapToGrid w:val="0"/>
        <w:rPr>
          <w:bCs/>
        </w:rPr>
      </w:pPr>
      <w:r>
        <w:rPr>
          <w:bCs/>
        </w:rPr>
        <w:t xml:space="preserve">Using </w:t>
      </w:r>
      <w:r>
        <w:rPr>
          <w:bCs/>
          <w:i/>
          <w:iCs/>
        </w:rPr>
        <w:t xml:space="preserve">Daubert </w:t>
      </w:r>
      <w:r>
        <w:rPr>
          <w:bCs/>
        </w:rPr>
        <w:t>hearings to exclude testimony from unqualified experts</w:t>
      </w:r>
    </w:p>
    <w:p w14:paraId="5FA62199" w14:textId="074A07F2" w:rsidR="00354C2B" w:rsidRDefault="00002AB4" w:rsidP="00336EAA">
      <w:pPr>
        <w:tabs>
          <w:tab w:val="left" w:pos="720"/>
        </w:tabs>
        <w:snapToGrid w:val="0"/>
      </w:pPr>
      <w:r>
        <w:t>Due to the high regard with which peace officers are traditionally held in their communities and the ease with which defense counsel can elicit mitigation evidence for their officer clients, prosecutors should prepare victims and their families for a realistic punishment outcome.</w:t>
      </w:r>
    </w:p>
    <w:p w14:paraId="6A6A4230" w14:textId="207D8FAF" w:rsidR="00A9130E" w:rsidRDefault="00A9130E" w:rsidP="00336EAA">
      <w:pPr>
        <w:tabs>
          <w:tab w:val="left" w:pos="720"/>
        </w:tabs>
        <w:snapToGrid w:val="0"/>
        <w:rPr>
          <w:b/>
          <w:szCs w:val="24"/>
        </w:rPr>
      </w:pPr>
    </w:p>
    <w:p w14:paraId="53D9CA98" w14:textId="0BC2F01C" w:rsidR="00A9130E" w:rsidRDefault="00A9130E" w:rsidP="00336EAA">
      <w:pPr>
        <w:tabs>
          <w:tab w:val="left" w:pos="720"/>
        </w:tabs>
        <w:snapToGrid w:val="0"/>
        <w:rPr>
          <w:sz w:val="32"/>
          <w:szCs w:val="32"/>
        </w:rPr>
      </w:pPr>
    </w:p>
    <w:p w14:paraId="50821A11" w14:textId="6C09D3CE" w:rsidR="001D668B" w:rsidRPr="00E34886" w:rsidRDefault="001D668B" w:rsidP="00336EAA">
      <w:pPr>
        <w:tabs>
          <w:tab w:val="left" w:pos="720"/>
        </w:tabs>
        <w:snapToGrid w:val="0"/>
        <w:jc w:val="center"/>
        <w:rPr>
          <w:sz w:val="32"/>
          <w:szCs w:val="32"/>
        </w:rPr>
      </w:pPr>
      <w:r>
        <w:rPr>
          <w:sz w:val="32"/>
          <w:szCs w:val="32"/>
        </w:rPr>
        <w:t>###</w:t>
      </w:r>
    </w:p>
    <w:sectPr w:rsidR="001D668B" w:rsidRPr="00E34886" w:rsidSect="00875B0E">
      <w:footerReference w:type="even" r:id="rId11"/>
      <w:footerReference w:type="default" r:id="rId12"/>
      <w:type w:val="continuous"/>
      <w:pgSz w:w="12240" w:h="15840"/>
      <w:pgMar w:top="540" w:right="1800" w:bottom="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27A04" w14:textId="77777777" w:rsidR="001239FB" w:rsidRDefault="001239FB">
      <w:r>
        <w:separator/>
      </w:r>
    </w:p>
  </w:endnote>
  <w:endnote w:type="continuationSeparator" w:id="0">
    <w:p w14:paraId="5F780C9B" w14:textId="77777777" w:rsidR="001239FB" w:rsidRDefault="0012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71EC3" w14:textId="77777777" w:rsidR="00843390" w:rsidRDefault="00843390">
    <w:pPr>
      <w:pStyle w:val="Footer"/>
      <w:rPr>
        <w:rStyle w:val="PageNumber"/>
        <w:sz w:val="10"/>
      </w:rPr>
    </w:pPr>
    <w:r>
      <w:rPr>
        <w:rStyle w:val="PageNumber"/>
        <w:sz w:val="10"/>
      </w:rPr>
      <w:tab/>
    </w:r>
    <w:r>
      <w:rPr>
        <w:rStyle w:val="PageNumber"/>
        <w:sz w:val="10"/>
      </w:rPr>
      <w:tab/>
      <w:t xml:space="preserve">page </w:t>
    </w:r>
    <w:r>
      <w:rPr>
        <w:rStyle w:val="PageNumber"/>
        <w:sz w:val="10"/>
      </w:rPr>
      <w:fldChar w:fldCharType="begin"/>
    </w:r>
    <w:r>
      <w:rPr>
        <w:rStyle w:val="PageNumber"/>
        <w:sz w:val="10"/>
      </w:rPr>
      <w:instrText xml:space="preserve"> PAGE  \* MERGEFORMAT </w:instrText>
    </w:r>
    <w:r>
      <w:rPr>
        <w:rStyle w:val="PageNumber"/>
        <w:sz w:val="10"/>
      </w:rPr>
      <w:fldChar w:fldCharType="separate"/>
    </w:r>
    <w:r w:rsidR="00CC3877" w:rsidRPr="00CC3877">
      <w:rPr>
        <w:rStyle w:val="PageNumber"/>
        <w:noProof/>
      </w:rPr>
      <w:t>4</w:t>
    </w:r>
    <w:r>
      <w:rPr>
        <w:rStyle w:val="PageNumber"/>
        <w:sz w:val="10"/>
      </w:rPr>
      <w:fldChar w:fldCharType="end"/>
    </w:r>
    <w:r>
      <w:rPr>
        <w:rStyle w:val="PageNumber"/>
        <w:sz w:val="10"/>
      </w:rPr>
      <w:t xml:space="preserve"> of </w:t>
    </w:r>
    <w:r>
      <w:rPr>
        <w:rStyle w:val="PageNumber"/>
        <w:sz w:val="10"/>
      </w:rPr>
      <w:fldChar w:fldCharType="begin"/>
    </w:r>
    <w:r>
      <w:rPr>
        <w:rStyle w:val="PageNumber"/>
        <w:sz w:val="10"/>
      </w:rPr>
      <w:instrText xml:space="preserve"> NUMPAGES  \* MERGEFORMAT </w:instrText>
    </w:r>
    <w:r>
      <w:rPr>
        <w:rStyle w:val="PageNumber"/>
        <w:sz w:val="10"/>
      </w:rPr>
      <w:fldChar w:fldCharType="separate"/>
    </w:r>
    <w:r w:rsidR="00490120" w:rsidRPr="00490120">
      <w:rPr>
        <w:rStyle w:val="PageNumber"/>
        <w:noProof/>
      </w:rPr>
      <w:t>1</w:t>
    </w:r>
    <w:r>
      <w:rPr>
        <w:rStyle w:val="PageNumber"/>
        <w:sz w:val="10"/>
      </w:rPr>
      <w:fldChar w:fldCharType="end"/>
    </w:r>
  </w:p>
  <w:p w14:paraId="2B73C13C" w14:textId="77777777" w:rsidR="00843390" w:rsidRDefault="00843390">
    <w:pPr>
      <w:pStyle w:val="Footer"/>
      <w:rPr>
        <w:rStyle w:val="PageNumber"/>
        <w:sz w:val="10"/>
      </w:rPr>
    </w:pPr>
  </w:p>
  <w:p w14:paraId="12C8DC96" w14:textId="77777777" w:rsidR="00843390" w:rsidRDefault="00843390">
    <w:pPr>
      <w:pStyle w:val="Footer"/>
      <w:rPr>
        <w:rStyle w:val="PageNumber"/>
        <w:sz w:val="10"/>
      </w:rPr>
    </w:pPr>
  </w:p>
  <w:p w14:paraId="3EC32C67" w14:textId="77777777" w:rsidR="00843390" w:rsidRDefault="00843390">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DF430" w14:textId="77777777" w:rsidR="00E34886" w:rsidRDefault="00E34886">
    <w:pPr>
      <w:pStyle w:val="Footer"/>
    </w:pPr>
    <w:r w:rsidRPr="00523EBB">
      <w:tab/>
    </w:r>
    <w:r w:rsidRPr="00523EBB">
      <w:tab/>
      <w:t xml:space="preserve">page </w:t>
    </w:r>
    <w:r w:rsidRPr="00523EBB">
      <w:fldChar w:fldCharType="begin"/>
    </w:r>
    <w:r w:rsidRPr="00523EBB">
      <w:instrText xml:space="preserve"> PAGE </w:instrText>
    </w:r>
    <w:r w:rsidRPr="00523EBB">
      <w:fldChar w:fldCharType="separate"/>
    </w:r>
    <w:r>
      <w:rPr>
        <w:noProof/>
      </w:rPr>
      <w:t>6</w:t>
    </w:r>
    <w:r w:rsidRPr="00523EBB">
      <w:fldChar w:fldCharType="end"/>
    </w:r>
    <w:r w:rsidRPr="00523EBB">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D77B" w14:textId="77777777" w:rsidR="00761063" w:rsidRDefault="00761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16F73B4" w14:textId="77777777" w:rsidR="00761063" w:rsidRDefault="0076106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D76B" w14:textId="77777777" w:rsidR="00761063" w:rsidRDefault="00761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3AC">
      <w:rPr>
        <w:rStyle w:val="PageNumber"/>
        <w:noProof/>
      </w:rPr>
      <w:t>21</w:t>
    </w:r>
    <w:r>
      <w:rPr>
        <w:rStyle w:val="PageNumber"/>
      </w:rPr>
      <w:fldChar w:fldCharType="end"/>
    </w:r>
  </w:p>
  <w:p w14:paraId="1939D2C7" w14:textId="77777777" w:rsidR="00761063" w:rsidRDefault="007610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F46CF" w14:textId="77777777" w:rsidR="001239FB" w:rsidRDefault="001239FB">
      <w:r>
        <w:separator/>
      </w:r>
    </w:p>
  </w:footnote>
  <w:footnote w:type="continuationSeparator" w:id="0">
    <w:p w14:paraId="0CB63DB9" w14:textId="77777777" w:rsidR="001239FB" w:rsidRDefault="00123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C9B2" w14:textId="77777777" w:rsidR="00843390" w:rsidRDefault="001239FB">
    <w:pPr>
      <w:pStyle w:val="Header"/>
      <w:jc w:val="center"/>
    </w:pPr>
    <w:r>
      <w:rPr>
        <w:noProof/>
      </w:rPr>
      <w:pict w14:anchorId="53336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0.5pt;height:97.5pt;mso-width-percent:0;mso-height-percent:0;mso-width-percent:0;mso-height-percent:0">
          <v:imagedata r:id="rId1" o:title="head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D35"/>
    <w:multiLevelType w:val="hybridMultilevel"/>
    <w:tmpl w:val="44DC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D2F21"/>
    <w:multiLevelType w:val="hybridMultilevel"/>
    <w:tmpl w:val="90D028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2475070"/>
    <w:multiLevelType w:val="hybridMultilevel"/>
    <w:tmpl w:val="C9F2E6B0"/>
    <w:lvl w:ilvl="0" w:tplc="82709804">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14246D1F"/>
    <w:multiLevelType w:val="hybridMultilevel"/>
    <w:tmpl w:val="0222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C6244"/>
    <w:multiLevelType w:val="hybridMultilevel"/>
    <w:tmpl w:val="1A0A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B4A3C"/>
    <w:multiLevelType w:val="hybridMultilevel"/>
    <w:tmpl w:val="8F901192"/>
    <w:lvl w:ilvl="0" w:tplc="AB30BA78">
      <w:start w:val="1"/>
      <w:numFmt w:val="lowerLetter"/>
      <w:lvlText w:val="%1."/>
      <w:lvlJc w:val="left"/>
      <w:pPr>
        <w:ind w:left="720" w:hanging="360"/>
      </w:pPr>
      <w:rPr>
        <w:rFonts w:ascii="Cambria" w:eastAsia="Times New Roman" w:hAnsi="Cambria" w:cs="Times New Roman"/>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A7F2C"/>
    <w:multiLevelType w:val="hybridMultilevel"/>
    <w:tmpl w:val="3940A7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2C8080B"/>
    <w:multiLevelType w:val="hybridMultilevel"/>
    <w:tmpl w:val="5A60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675A0"/>
    <w:multiLevelType w:val="hybridMultilevel"/>
    <w:tmpl w:val="520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C6279"/>
    <w:multiLevelType w:val="hybridMultilevel"/>
    <w:tmpl w:val="039E0E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E290A"/>
    <w:multiLevelType w:val="hybridMultilevel"/>
    <w:tmpl w:val="1C92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937C9"/>
    <w:multiLevelType w:val="hybridMultilevel"/>
    <w:tmpl w:val="8EAA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9"/>
    <w:multiLevelType w:val="hybridMultilevel"/>
    <w:tmpl w:val="7CCAC3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48476F"/>
    <w:multiLevelType w:val="hybridMultilevel"/>
    <w:tmpl w:val="860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B7F37"/>
    <w:multiLevelType w:val="hybridMultilevel"/>
    <w:tmpl w:val="84EA8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017B01"/>
    <w:multiLevelType w:val="hybridMultilevel"/>
    <w:tmpl w:val="4454CCDE"/>
    <w:lvl w:ilvl="0" w:tplc="8346AC30">
      <w:start w:val="6"/>
      <w:numFmt w:val="bullet"/>
      <w:lvlText w:val=""/>
      <w:lvlJc w:val="left"/>
      <w:pPr>
        <w:ind w:left="1140" w:hanging="780"/>
      </w:pPr>
      <w:rPr>
        <w:rFonts w:ascii="Symbol" w:eastAsia="Times New Roman" w:hAnsi="Symbol"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49686EEC"/>
    <w:multiLevelType w:val="hybridMultilevel"/>
    <w:tmpl w:val="270A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912FA"/>
    <w:multiLevelType w:val="hybridMultilevel"/>
    <w:tmpl w:val="5F3E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70C3B"/>
    <w:multiLevelType w:val="hybridMultilevel"/>
    <w:tmpl w:val="E69E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40596"/>
    <w:multiLevelType w:val="hybridMultilevel"/>
    <w:tmpl w:val="DB6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E2214"/>
    <w:multiLevelType w:val="hybridMultilevel"/>
    <w:tmpl w:val="3DAA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C3B79"/>
    <w:multiLevelType w:val="hybridMultilevel"/>
    <w:tmpl w:val="B2C4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F764B"/>
    <w:multiLevelType w:val="hybridMultilevel"/>
    <w:tmpl w:val="D2C45A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EA0467"/>
    <w:multiLevelType w:val="hybridMultilevel"/>
    <w:tmpl w:val="4162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46593"/>
    <w:multiLevelType w:val="hybridMultilevel"/>
    <w:tmpl w:val="FFD6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65949"/>
    <w:multiLevelType w:val="hybridMultilevel"/>
    <w:tmpl w:val="AD7E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D3DB7"/>
    <w:multiLevelType w:val="hybridMultilevel"/>
    <w:tmpl w:val="C05A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91555"/>
    <w:multiLevelType w:val="hybridMultilevel"/>
    <w:tmpl w:val="005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17EB6"/>
    <w:multiLevelType w:val="hybridMultilevel"/>
    <w:tmpl w:val="A916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6779A"/>
    <w:multiLevelType w:val="hybridMultilevel"/>
    <w:tmpl w:val="5BE00CAC"/>
    <w:lvl w:ilvl="0" w:tplc="6D6E9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9"/>
  </w:num>
  <w:num w:numId="4">
    <w:abstractNumId w:val="4"/>
  </w:num>
  <w:num w:numId="5">
    <w:abstractNumId w:val="2"/>
  </w:num>
  <w:num w:numId="6">
    <w:abstractNumId w:val="15"/>
  </w:num>
  <w:num w:numId="7">
    <w:abstractNumId w:val="0"/>
  </w:num>
  <w:num w:numId="8">
    <w:abstractNumId w:val="21"/>
  </w:num>
  <w:num w:numId="9">
    <w:abstractNumId w:val="3"/>
  </w:num>
  <w:num w:numId="10">
    <w:abstractNumId w:val="19"/>
  </w:num>
  <w:num w:numId="11">
    <w:abstractNumId w:val="16"/>
  </w:num>
  <w:num w:numId="12">
    <w:abstractNumId w:val="10"/>
  </w:num>
  <w:num w:numId="13">
    <w:abstractNumId w:val="18"/>
  </w:num>
  <w:num w:numId="14">
    <w:abstractNumId w:val="8"/>
  </w:num>
  <w:num w:numId="15">
    <w:abstractNumId w:val="26"/>
  </w:num>
  <w:num w:numId="16">
    <w:abstractNumId w:val="25"/>
  </w:num>
  <w:num w:numId="17">
    <w:abstractNumId w:val="13"/>
  </w:num>
  <w:num w:numId="18">
    <w:abstractNumId w:val="5"/>
  </w:num>
  <w:num w:numId="19">
    <w:abstractNumId w:val="6"/>
  </w:num>
  <w:num w:numId="20">
    <w:abstractNumId w:val="17"/>
  </w:num>
  <w:num w:numId="21">
    <w:abstractNumId w:val="14"/>
  </w:num>
  <w:num w:numId="22">
    <w:abstractNumId w:val="22"/>
  </w:num>
  <w:num w:numId="23">
    <w:abstractNumId w:val="23"/>
  </w:num>
  <w:num w:numId="24">
    <w:abstractNumId w:val="20"/>
  </w:num>
  <w:num w:numId="25">
    <w:abstractNumId w:val="27"/>
  </w:num>
  <w:num w:numId="26">
    <w:abstractNumId w:val="29"/>
  </w:num>
  <w:num w:numId="27">
    <w:abstractNumId w:val="24"/>
  </w:num>
  <w:num w:numId="28">
    <w:abstractNumId w:val="28"/>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806"/>
    <w:rsid w:val="00002AB4"/>
    <w:rsid w:val="00014CE2"/>
    <w:rsid w:val="00017250"/>
    <w:rsid w:val="0002219A"/>
    <w:rsid w:val="00026609"/>
    <w:rsid w:val="00050E14"/>
    <w:rsid w:val="00054499"/>
    <w:rsid w:val="00062FAE"/>
    <w:rsid w:val="00064299"/>
    <w:rsid w:val="00071280"/>
    <w:rsid w:val="00083766"/>
    <w:rsid w:val="00091519"/>
    <w:rsid w:val="00096849"/>
    <w:rsid w:val="000A368A"/>
    <w:rsid w:val="000A7CFA"/>
    <w:rsid w:val="000B0CD2"/>
    <w:rsid w:val="000B427F"/>
    <w:rsid w:val="000B428A"/>
    <w:rsid w:val="000C36A1"/>
    <w:rsid w:val="000C4EDB"/>
    <w:rsid w:val="000D5659"/>
    <w:rsid w:val="000D64B7"/>
    <w:rsid w:val="000F334B"/>
    <w:rsid w:val="00101EDE"/>
    <w:rsid w:val="0011159E"/>
    <w:rsid w:val="00114705"/>
    <w:rsid w:val="001239FB"/>
    <w:rsid w:val="00125E3E"/>
    <w:rsid w:val="0012737B"/>
    <w:rsid w:val="00153FC4"/>
    <w:rsid w:val="001605FD"/>
    <w:rsid w:val="00161806"/>
    <w:rsid w:val="00165C1D"/>
    <w:rsid w:val="00171EF4"/>
    <w:rsid w:val="00193349"/>
    <w:rsid w:val="001C68F5"/>
    <w:rsid w:val="001D4AF3"/>
    <w:rsid w:val="001D668B"/>
    <w:rsid w:val="001E61E9"/>
    <w:rsid w:val="001F79EF"/>
    <w:rsid w:val="00215248"/>
    <w:rsid w:val="00241058"/>
    <w:rsid w:val="00254DB6"/>
    <w:rsid w:val="00261C18"/>
    <w:rsid w:val="002645CF"/>
    <w:rsid w:val="00275EE3"/>
    <w:rsid w:val="00280753"/>
    <w:rsid w:val="0028424D"/>
    <w:rsid w:val="002873CB"/>
    <w:rsid w:val="002A0A34"/>
    <w:rsid w:val="002A5816"/>
    <w:rsid w:val="002A7DFF"/>
    <w:rsid w:val="002C61CB"/>
    <w:rsid w:val="003122D1"/>
    <w:rsid w:val="003243CA"/>
    <w:rsid w:val="00326680"/>
    <w:rsid w:val="00336EAA"/>
    <w:rsid w:val="00336F40"/>
    <w:rsid w:val="003471F8"/>
    <w:rsid w:val="00354C2B"/>
    <w:rsid w:val="00363B2F"/>
    <w:rsid w:val="00367382"/>
    <w:rsid w:val="003807E4"/>
    <w:rsid w:val="00387772"/>
    <w:rsid w:val="003C2120"/>
    <w:rsid w:val="003D2273"/>
    <w:rsid w:val="003D2925"/>
    <w:rsid w:val="003E3FD6"/>
    <w:rsid w:val="00404D50"/>
    <w:rsid w:val="00411B40"/>
    <w:rsid w:val="00444F49"/>
    <w:rsid w:val="004503CE"/>
    <w:rsid w:val="00455E48"/>
    <w:rsid w:val="004606BF"/>
    <w:rsid w:val="00460F9E"/>
    <w:rsid w:val="004824C4"/>
    <w:rsid w:val="00490120"/>
    <w:rsid w:val="004917CA"/>
    <w:rsid w:val="004A1FDE"/>
    <w:rsid w:val="004A2554"/>
    <w:rsid w:val="004A3D11"/>
    <w:rsid w:val="004B6B63"/>
    <w:rsid w:val="004C589A"/>
    <w:rsid w:val="004D3AFC"/>
    <w:rsid w:val="004F3C73"/>
    <w:rsid w:val="005011CB"/>
    <w:rsid w:val="00503192"/>
    <w:rsid w:val="00514E88"/>
    <w:rsid w:val="005233B5"/>
    <w:rsid w:val="00547365"/>
    <w:rsid w:val="00566095"/>
    <w:rsid w:val="005732F4"/>
    <w:rsid w:val="00581CFD"/>
    <w:rsid w:val="00587B9B"/>
    <w:rsid w:val="005C4D94"/>
    <w:rsid w:val="005C541F"/>
    <w:rsid w:val="005D7362"/>
    <w:rsid w:val="005E1736"/>
    <w:rsid w:val="005E1DD7"/>
    <w:rsid w:val="00603177"/>
    <w:rsid w:val="0060372E"/>
    <w:rsid w:val="006106DC"/>
    <w:rsid w:val="0061632F"/>
    <w:rsid w:val="00616CA6"/>
    <w:rsid w:val="00620E59"/>
    <w:rsid w:val="00622F8E"/>
    <w:rsid w:val="00625497"/>
    <w:rsid w:val="00625831"/>
    <w:rsid w:val="00636E5B"/>
    <w:rsid w:val="00645FDE"/>
    <w:rsid w:val="006503E7"/>
    <w:rsid w:val="0065106C"/>
    <w:rsid w:val="00657A2B"/>
    <w:rsid w:val="006619E4"/>
    <w:rsid w:val="006635DC"/>
    <w:rsid w:val="006918ED"/>
    <w:rsid w:val="006D21B4"/>
    <w:rsid w:val="006F3BC4"/>
    <w:rsid w:val="0070260E"/>
    <w:rsid w:val="00723186"/>
    <w:rsid w:val="0072447A"/>
    <w:rsid w:val="00726777"/>
    <w:rsid w:val="00726B24"/>
    <w:rsid w:val="00741A3A"/>
    <w:rsid w:val="0074509D"/>
    <w:rsid w:val="007451C2"/>
    <w:rsid w:val="00761063"/>
    <w:rsid w:val="00775342"/>
    <w:rsid w:val="00776007"/>
    <w:rsid w:val="007776A1"/>
    <w:rsid w:val="007909F4"/>
    <w:rsid w:val="00790E34"/>
    <w:rsid w:val="00795EE8"/>
    <w:rsid w:val="007A0B98"/>
    <w:rsid w:val="007A5D9E"/>
    <w:rsid w:val="007A6F58"/>
    <w:rsid w:val="007B3B29"/>
    <w:rsid w:val="007C7AAD"/>
    <w:rsid w:val="007D4E34"/>
    <w:rsid w:val="007F3655"/>
    <w:rsid w:val="007F79F0"/>
    <w:rsid w:val="0080000F"/>
    <w:rsid w:val="0080024F"/>
    <w:rsid w:val="00802B2D"/>
    <w:rsid w:val="00807009"/>
    <w:rsid w:val="00843390"/>
    <w:rsid w:val="008639A6"/>
    <w:rsid w:val="00873E14"/>
    <w:rsid w:val="00875B0E"/>
    <w:rsid w:val="008869A6"/>
    <w:rsid w:val="008B5C18"/>
    <w:rsid w:val="008C7D9E"/>
    <w:rsid w:val="008E550E"/>
    <w:rsid w:val="008E7D54"/>
    <w:rsid w:val="008F4B6D"/>
    <w:rsid w:val="008F781D"/>
    <w:rsid w:val="00917A87"/>
    <w:rsid w:val="00923375"/>
    <w:rsid w:val="009254F2"/>
    <w:rsid w:val="009325A4"/>
    <w:rsid w:val="00953C0A"/>
    <w:rsid w:val="0095509C"/>
    <w:rsid w:val="0096717F"/>
    <w:rsid w:val="00973721"/>
    <w:rsid w:val="00973777"/>
    <w:rsid w:val="009D0B69"/>
    <w:rsid w:val="009D583B"/>
    <w:rsid w:val="009F2169"/>
    <w:rsid w:val="00A14698"/>
    <w:rsid w:val="00A213EE"/>
    <w:rsid w:val="00A37108"/>
    <w:rsid w:val="00A51568"/>
    <w:rsid w:val="00A55D3C"/>
    <w:rsid w:val="00A61259"/>
    <w:rsid w:val="00A64E08"/>
    <w:rsid w:val="00A702B0"/>
    <w:rsid w:val="00A72184"/>
    <w:rsid w:val="00A80EB2"/>
    <w:rsid w:val="00A866CC"/>
    <w:rsid w:val="00A9130E"/>
    <w:rsid w:val="00AC0A3F"/>
    <w:rsid w:val="00AC3968"/>
    <w:rsid w:val="00AD4D34"/>
    <w:rsid w:val="00B148FE"/>
    <w:rsid w:val="00B24767"/>
    <w:rsid w:val="00B56604"/>
    <w:rsid w:val="00B6616E"/>
    <w:rsid w:val="00B756FE"/>
    <w:rsid w:val="00B76CC4"/>
    <w:rsid w:val="00B877D5"/>
    <w:rsid w:val="00BB55D0"/>
    <w:rsid w:val="00BB622A"/>
    <w:rsid w:val="00BB63FF"/>
    <w:rsid w:val="00BC02C4"/>
    <w:rsid w:val="00BD5C49"/>
    <w:rsid w:val="00BD5CC3"/>
    <w:rsid w:val="00BE4059"/>
    <w:rsid w:val="00C01364"/>
    <w:rsid w:val="00C113CB"/>
    <w:rsid w:val="00C858E6"/>
    <w:rsid w:val="00C926FD"/>
    <w:rsid w:val="00CA1EAA"/>
    <w:rsid w:val="00CB2460"/>
    <w:rsid w:val="00CB5708"/>
    <w:rsid w:val="00CC1AFB"/>
    <w:rsid w:val="00CC3877"/>
    <w:rsid w:val="00CC41CE"/>
    <w:rsid w:val="00CC55E5"/>
    <w:rsid w:val="00CD0A9B"/>
    <w:rsid w:val="00CD5983"/>
    <w:rsid w:val="00CF14D8"/>
    <w:rsid w:val="00D1787B"/>
    <w:rsid w:val="00D22B96"/>
    <w:rsid w:val="00D408BD"/>
    <w:rsid w:val="00D45534"/>
    <w:rsid w:val="00D4618D"/>
    <w:rsid w:val="00D7085B"/>
    <w:rsid w:val="00D71C60"/>
    <w:rsid w:val="00D76861"/>
    <w:rsid w:val="00D9586A"/>
    <w:rsid w:val="00DA2A44"/>
    <w:rsid w:val="00DA43EA"/>
    <w:rsid w:val="00DA63AC"/>
    <w:rsid w:val="00DA72FE"/>
    <w:rsid w:val="00DB419C"/>
    <w:rsid w:val="00DC1C0E"/>
    <w:rsid w:val="00DC7EB5"/>
    <w:rsid w:val="00DD472C"/>
    <w:rsid w:val="00DF2B87"/>
    <w:rsid w:val="00E0054D"/>
    <w:rsid w:val="00E028D5"/>
    <w:rsid w:val="00E1374E"/>
    <w:rsid w:val="00E3389D"/>
    <w:rsid w:val="00E34886"/>
    <w:rsid w:val="00E37B3F"/>
    <w:rsid w:val="00E43480"/>
    <w:rsid w:val="00E67928"/>
    <w:rsid w:val="00E70919"/>
    <w:rsid w:val="00EA021B"/>
    <w:rsid w:val="00EB609E"/>
    <w:rsid w:val="00EE3516"/>
    <w:rsid w:val="00EE3630"/>
    <w:rsid w:val="00EF08DF"/>
    <w:rsid w:val="00F11C86"/>
    <w:rsid w:val="00F24F20"/>
    <w:rsid w:val="00F378DB"/>
    <w:rsid w:val="00F37CC7"/>
    <w:rsid w:val="00F621F0"/>
    <w:rsid w:val="00F67C4B"/>
    <w:rsid w:val="00F7041D"/>
    <w:rsid w:val="00F71332"/>
    <w:rsid w:val="00F93A52"/>
    <w:rsid w:val="00F95489"/>
    <w:rsid w:val="00FA5D1C"/>
    <w:rsid w:val="00FC0239"/>
    <w:rsid w:val="00FC37EB"/>
    <w:rsid w:val="00FF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030069"/>
  <w15:chartTrackingRefBased/>
  <w15:docId w15:val="{603982F5-3B09-482A-AF6E-2D60A0ED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left="720"/>
    </w:pPr>
    <w:rPr>
      <w:rFonts w:ascii="Arial" w:hAnsi="Arial"/>
      <w:b/>
      <w:sz w:val="22"/>
    </w:rPr>
  </w:style>
  <w:style w:type="paragraph" w:styleId="MessageHeader">
    <w:name w:val="Message Header"/>
    <w:basedOn w:val="BodyText"/>
    <w:pPr>
      <w:keepLines/>
      <w:tabs>
        <w:tab w:val="left" w:pos="3600"/>
        <w:tab w:val="left" w:pos="4680"/>
      </w:tabs>
      <w:ind w:left="1080" w:right="2160" w:hanging="1080"/>
    </w:pPr>
  </w:style>
  <w:style w:type="paragraph" w:styleId="BalloonText">
    <w:name w:val="Balloon Text"/>
    <w:basedOn w:val="Normal"/>
    <w:semiHidden/>
    <w:rsid w:val="003E3FD6"/>
    <w:rPr>
      <w:rFonts w:ascii="Tahoma" w:hAnsi="Tahoma" w:cs="Tahoma"/>
      <w:sz w:val="16"/>
      <w:szCs w:val="16"/>
    </w:rPr>
  </w:style>
  <w:style w:type="paragraph" w:styleId="ListParagraph">
    <w:name w:val="List Paragraph"/>
    <w:basedOn w:val="Normal"/>
    <w:uiPriority w:val="34"/>
    <w:qFormat/>
    <w:rsid w:val="009325A4"/>
    <w:pPr>
      <w:spacing w:before="100" w:beforeAutospacing="1" w:after="100" w:afterAutospacing="1"/>
      <w:ind w:left="720"/>
      <w:contextualSpacing/>
    </w:pPr>
    <w:rPr>
      <w:rFonts w:ascii="Calibri" w:eastAsia="Calibri" w:hAnsi="Calibri"/>
      <w:sz w:val="22"/>
      <w:szCs w:val="22"/>
    </w:rPr>
  </w:style>
  <w:style w:type="paragraph" w:styleId="FootnoteText">
    <w:name w:val="footnote text"/>
    <w:basedOn w:val="Normal"/>
    <w:link w:val="FootnoteTextChar"/>
    <w:rsid w:val="007C7AAD"/>
    <w:rPr>
      <w:sz w:val="20"/>
    </w:rPr>
  </w:style>
  <w:style w:type="character" w:customStyle="1" w:styleId="FootnoteTextChar">
    <w:name w:val="Footnote Text Char"/>
    <w:basedOn w:val="DefaultParagraphFont"/>
    <w:link w:val="FootnoteText"/>
    <w:rsid w:val="007C7AAD"/>
  </w:style>
  <w:style w:type="character" w:styleId="FootnoteReference">
    <w:name w:val="footnote reference"/>
    <w:rsid w:val="007C7AAD"/>
    <w:rPr>
      <w:vertAlign w:val="superscript"/>
    </w:rPr>
  </w:style>
  <w:style w:type="character" w:styleId="Hyperlink">
    <w:name w:val="Hyperlink"/>
    <w:uiPriority w:val="99"/>
    <w:rsid w:val="003471F8"/>
    <w:rPr>
      <w:color w:val="0000FF"/>
      <w:u w:val="single"/>
    </w:rPr>
  </w:style>
  <w:style w:type="character" w:customStyle="1" w:styleId="FooterChar">
    <w:name w:val="Footer Char"/>
    <w:link w:val="Footer"/>
    <w:rsid w:val="00875B0E"/>
    <w:rPr>
      <w:sz w:val="24"/>
    </w:rPr>
  </w:style>
  <w:style w:type="character" w:customStyle="1" w:styleId="HeaderChar">
    <w:name w:val="Header Char"/>
    <w:link w:val="Header"/>
    <w:uiPriority w:val="99"/>
    <w:rsid w:val="00A9130E"/>
    <w:rPr>
      <w:sz w:val="24"/>
    </w:rPr>
  </w:style>
  <w:style w:type="paragraph" w:customStyle="1" w:styleId="Body">
    <w:name w:val="Body"/>
    <w:rsid w:val="00E34886"/>
    <w:pPr>
      <w:widowControl w:val="0"/>
      <w:pBdr>
        <w:top w:val="nil"/>
        <w:left w:val="nil"/>
        <w:bottom w:val="nil"/>
        <w:right w:val="nil"/>
        <w:between w:val="nil"/>
        <w:bar w:val="nil"/>
      </w:pBdr>
      <w:spacing w:line="360" w:lineRule="atLeast"/>
      <w:jc w:val="both"/>
    </w:pPr>
    <w:rPr>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sarah%20template\gr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B5BE-F95D-4766-8F03-597063E4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Template>
  <TotalTime>5</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Prosecutors to Honor Senator Staples</vt:lpstr>
    </vt:vector>
  </TitlesOfParts>
  <Company>Dell Computer Corporation</Company>
  <LinksUpToDate>false</LinksUpToDate>
  <CharactersWithSpaces>9441</CharactersWithSpaces>
  <SharedDoc>false</SharedDoc>
  <HLinks>
    <vt:vector size="6" baseType="variant">
      <vt:variant>
        <vt:i4>917593</vt:i4>
      </vt:variant>
      <vt:variant>
        <vt:i4>0</vt:i4>
      </vt:variant>
      <vt:variant>
        <vt:i4>0</vt:i4>
      </vt:variant>
      <vt:variant>
        <vt:i4>5</vt:i4>
      </vt:variant>
      <vt:variant>
        <vt:lpwstr>mailto:bonsal_kirk@dao.hctx.net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Prosecutors to Honor Senator Staples</dc:title>
  <dc:subject/>
  <dc:creator>John Brown</dc:creator>
  <cp:keywords/>
  <cp:lastModifiedBy>Shannon Edmonds</cp:lastModifiedBy>
  <cp:revision>3</cp:revision>
  <cp:lastPrinted>2014-10-06T15:53:00Z</cp:lastPrinted>
  <dcterms:created xsi:type="dcterms:W3CDTF">2020-06-15T19:52:00Z</dcterms:created>
  <dcterms:modified xsi:type="dcterms:W3CDTF">2020-06-15T19:54:00Z</dcterms:modified>
</cp:coreProperties>
</file>